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3F62" w:rsidRDefault="00BF3F62" w:rsidP="00E076B6">
      <w:pPr>
        <w:jc w:val="center"/>
        <w:rPr>
          <w:b/>
          <w:sz w:val="32"/>
          <w:szCs w:val="32"/>
        </w:rPr>
      </w:pPr>
    </w:p>
    <w:p w:rsidR="00203398" w:rsidRDefault="00CC3EFA">
      <w:pPr>
        <w:rPr>
          <w:b/>
          <w:sz w:val="32"/>
          <w:szCs w:val="32"/>
        </w:rPr>
      </w:pPr>
      <w:r w:rsidRPr="00CC3EFA">
        <w:rPr>
          <w:b/>
          <w:noProof/>
          <w:sz w:val="32"/>
          <w:szCs w:val="32"/>
        </w:rPr>
        <w:drawing>
          <wp:inline distT="0" distB="0" distL="0" distR="0">
            <wp:extent cx="6023941" cy="1183119"/>
            <wp:effectExtent l="19050" t="0" r="0" b="0"/>
            <wp:docPr id="24" name="Picture 1" descr="C:\Users\Sadman\Desktop\heade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dman\Desktop\header-logo.png"/>
                    <pic:cNvPicPr>
                      <a:picLocks noChangeAspect="1" noChangeArrowheads="1"/>
                    </pic:cNvPicPr>
                  </pic:nvPicPr>
                  <pic:blipFill>
                    <a:blip r:embed="rId9"/>
                    <a:srcRect/>
                    <a:stretch>
                      <a:fillRect/>
                    </a:stretch>
                  </pic:blipFill>
                  <pic:spPr bwMode="auto">
                    <a:xfrm>
                      <a:off x="0" y="0"/>
                      <a:ext cx="6026429" cy="1183608"/>
                    </a:xfrm>
                    <a:prstGeom prst="rect">
                      <a:avLst/>
                    </a:prstGeom>
                    <a:noFill/>
                    <a:ln w="9525">
                      <a:noFill/>
                      <a:miter lim="800000"/>
                      <a:headEnd/>
                      <a:tailEnd/>
                    </a:ln>
                  </pic:spPr>
                </pic:pic>
              </a:graphicData>
            </a:graphic>
          </wp:inline>
        </w:drawing>
      </w:r>
    </w:p>
    <w:p w:rsidR="00203398" w:rsidRDefault="00203398" w:rsidP="00203398">
      <w:pPr>
        <w:jc w:val="center"/>
        <w:rPr>
          <w:b/>
          <w:sz w:val="32"/>
          <w:szCs w:val="32"/>
        </w:rPr>
      </w:pPr>
      <w:r>
        <w:rPr>
          <w:b/>
          <w:sz w:val="32"/>
          <w:szCs w:val="32"/>
        </w:rPr>
        <w:t>Internship Report</w:t>
      </w:r>
    </w:p>
    <w:p w:rsidR="009577C4" w:rsidRDefault="000F7DFF" w:rsidP="00203398">
      <w:pPr>
        <w:jc w:val="center"/>
        <w:rPr>
          <w:b/>
          <w:sz w:val="32"/>
          <w:szCs w:val="32"/>
        </w:rPr>
      </w:pPr>
      <w:r>
        <w:rPr>
          <w:b/>
          <w:sz w:val="32"/>
          <w:szCs w:val="32"/>
        </w:rPr>
        <w:t>On</w:t>
      </w:r>
    </w:p>
    <w:p w:rsidR="00203398" w:rsidRPr="009577C4" w:rsidRDefault="00203398" w:rsidP="00203398">
      <w:pPr>
        <w:jc w:val="center"/>
        <w:rPr>
          <w:b/>
          <w:i/>
          <w:sz w:val="32"/>
          <w:szCs w:val="32"/>
        </w:rPr>
      </w:pPr>
      <w:r>
        <w:rPr>
          <w:b/>
          <w:sz w:val="32"/>
          <w:szCs w:val="32"/>
        </w:rPr>
        <w:t xml:space="preserve"> </w:t>
      </w:r>
      <w:r w:rsidR="009577C4" w:rsidRPr="009577C4">
        <w:rPr>
          <w:b/>
          <w:i/>
          <w:sz w:val="32"/>
          <w:szCs w:val="32"/>
        </w:rPr>
        <w:t>Analysis of Financial Performances: A Case Study of Prime Bank Limited</w:t>
      </w:r>
    </w:p>
    <w:p w:rsidR="006E6D01" w:rsidRPr="00E94F83" w:rsidRDefault="006E6D01" w:rsidP="00203398">
      <w:pPr>
        <w:jc w:val="center"/>
        <w:rPr>
          <w:b/>
          <w:sz w:val="16"/>
          <w:szCs w:val="32"/>
        </w:rPr>
      </w:pPr>
    </w:p>
    <w:p w:rsidR="00203398" w:rsidRPr="004E19CB" w:rsidRDefault="00203398" w:rsidP="00E94F83">
      <w:pPr>
        <w:spacing w:after="0" w:line="360" w:lineRule="auto"/>
        <w:jc w:val="center"/>
        <w:rPr>
          <w:b/>
          <w:sz w:val="32"/>
          <w:szCs w:val="32"/>
          <w:u w:val="single"/>
        </w:rPr>
      </w:pPr>
      <w:r w:rsidRPr="004E19CB">
        <w:rPr>
          <w:b/>
          <w:sz w:val="32"/>
          <w:szCs w:val="32"/>
          <w:u w:val="single"/>
        </w:rPr>
        <w:t>Submitted to</w:t>
      </w:r>
    </w:p>
    <w:p w:rsidR="00203398" w:rsidRPr="004E19CB" w:rsidRDefault="00203398" w:rsidP="00E94F83">
      <w:pPr>
        <w:spacing w:after="0" w:line="360" w:lineRule="auto"/>
        <w:jc w:val="center"/>
        <w:rPr>
          <w:sz w:val="32"/>
          <w:szCs w:val="32"/>
        </w:rPr>
      </w:pPr>
      <w:r w:rsidRPr="004E19CB">
        <w:rPr>
          <w:sz w:val="32"/>
          <w:szCs w:val="32"/>
        </w:rPr>
        <w:t xml:space="preserve">Muhammad </w:t>
      </w:r>
      <w:proofErr w:type="spellStart"/>
      <w:r w:rsidRPr="004E19CB">
        <w:rPr>
          <w:sz w:val="32"/>
          <w:szCs w:val="32"/>
        </w:rPr>
        <w:t>Enamul</w:t>
      </w:r>
      <w:proofErr w:type="spellEnd"/>
      <w:r w:rsidRPr="004E19CB">
        <w:rPr>
          <w:sz w:val="32"/>
          <w:szCs w:val="32"/>
        </w:rPr>
        <w:t xml:space="preserve"> </w:t>
      </w:r>
      <w:proofErr w:type="spellStart"/>
      <w:r w:rsidRPr="004E19CB">
        <w:rPr>
          <w:sz w:val="32"/>
          <w:szCs w:val="32"/>
        </w:rPr>
        <w:t>Haque</w:t>
      </w:r>
      <w:proofErr w:type="spellEnd"/>
    </w:p>
    <w:p w:rsidR="00203398" w:rsidRDefault="00203398" w:rsidP="00E94F83">
      <w:pPr>
        <w:spacing w:after="0" w:line="360" w:lineRule="auto"/>
        <w:jc w:val="center"/>
        <w:rPr>
          <w:sz w:val="28"/>
          <w:szCs w:val="28"/>
        </w:rPr>
      </w:pPr>
      <w:r w:rsidRPr="00203398">
        <w:rPr>
          <w:sz w:val="28"/>
          <w:szCs w:val="28"/>
        </w:rPr>
        <w:t>Assistant Professor</w:t>
      </w:r>
    </w:p>
    <w:p w:rsidR="00203398" w:rsidRPr="00203398" w:rsidRDefault="00203398" w:rsidP="00E94F83">
      <w:pPr>
        <w:spacing w:after="0" w:line="360" w:lineRule="auto"/>
        <w:jc w:val="center"/>
        <w:rPr>
          <w:sz w:val="28"/>
          <w:szCs w:val="28"/>
        </w:rPr>
      </w:pPr>
      <w:r>
        <w:rPr>
          <w:sz w:val="28"/>
          <w:szCs w:val="28"/>
        </w:rPr>
        <w:t>School of Business</w:t>
      </w:r>
      <w:r w:rsidR="009577C4">
        <w:rPr>
          <w:sz w:val="28"/>
          <w:szCs w:val="28"/>
        </w:rPr>
        <w:t xml:space="preserve"> &amp; Economics</w:t>
      </w:r>
    </w:p>
    <w:p w:rsidR="00203398" w:rsidRPr="00203398" w:rsidRDefault="00203398" w:rsidP="00E94F83">
      <w:pPr>
        <w:spacing w:after="0" w:line="360" w:lineRule="auto"/>
        <w:jc w:val="center"/>
        <w:rPr>
          <w:sz w:val="28"/>
          <w:szCs w:val="28"/>
        </w:rPr>
      </w:pPr>
      <w:r w:rsidRPr="00203398">
        <w:rPr>
          <w:sz w:val="28"/>
          <w:szCs w:val="28"/>
        </w:rPr>
        <w:t>United International University</w:t>
      </w:r>
    </w:p>
    <w:p w:rsidR="00203398" w:rsidRPr="006F6ACD" w:rsidRDefault="00203398" w:rsidP="00E94F83">
      <w:pPr>
        <w:spacing w:after="0" w:line="360" w:lineRule="auto"/>
        <w:rPr>
          <w:b/>
          <w:sz w:val="18"/>
          <w:szCs w:val="32"/>
        </w:rPr>
      </w:pPr>
    </w:p>
    <w:p w:rsidR="00203398" w:rsidRPr="004E19CB" w:rsidRDefault="00203398" w:rsidP="00E94F83">
      <w:pPr>
        <w:spacing w:after="0" w:line="360" w:lineRule="auto"/>
        <w:jc w:val="center"/>
        <w:rPr>
          <w:b/>
          <w:sz w:val="32"/>
          <w:szCs w:val="32"/>
          <w:u w:val="single"/>
        </w:rPr>
      </w:pPr>
      <w:r w:rsidRPr="004E19CB">
        <w:rPr>
          <w:b/>
          <w:sz w:val="32"/>
          <w:szCs w:val="32"/>
          <w:u w:val="single"/>
        </w:rPr>
        <w:t>Submitted by</w:t>
      </w:r>
    </w:p>
    <w:p w:rsidR="00203398" w:rsidRPr="00203398" w:rsidRDefault="00203398" w:rsidP="00E94F83">
      <w:pPr>
        <w:spacing w:after="0" w:line="360" w:lineRule="auto"/>
        <w:jc w:val="center"/>
        <w:rPr>
          <w:sz w:val="28"/>
          <w:szCs w:val="28"/>
        </w:rPr>
      </w:pPr>
      <w:proofErr w:type="spellStart"/>
      <w:r w:rsidRPr="00203398">
        <w:rPr>
          <w:sz w:val="28"/>
          <w:szCs w:val="28"/>
        </w:rPr>
        <w:t>Sadman</w:t>
      </w:r>
      <w:proofErr w:type="spellEnd"/>
      <w:r w:rsidRPr="00203398">
        <w:rPr>
          <w:sz w:val="28"/>
          <w:szCs w:val="28"/>
        </w:rPr>
        <w:t xml:space="preserve"> </w:t>
      </w:r>
      <w:proofErr w:type="spellStart"/>
      <w:r w:rsidRPr="00203398">
        <w:rPr>
          <w:sz w:val="28"/>
          <w:szCs w:val="28"/>
        </w:rPr>
        <w:t>Sharar</w:t>
      </w:r>
      <w:proofErr w:type="spellEnd"/>
    </w:p>
    <w:p w:rsidR="00203398" w:rsidRPr="00203398" w:rsidRDefault="00203398" w:rsidP="00E94F83">
      <w:pPr>
        <w:spacing w:after="0" w:line="360" w:lineRule="auto"/>
        <w:jc w:val="center"/>
        <w:rPr>
          <w:sz w:val="28"/>
          <w:szCs w:val="28"/>
        </w:rPr>
      </w:pPr>
      <w:r w:rsidRPr="00203398">
        <w:rPr>
          <w:sz w:val="28"/>
          <w:szCs w:val="28"/>
        </w:rPr>
        <w:t>111 161 148</w:t>
      </w:r>
    </w:p>
    <w:p w:rsidR="004E19CB" w:rsidRDefault="00203398" w:rsidP="00E94F83">
      <w:pPr>
        <w:spacing w:after="0" w:line="360" w:lineRule="auto"/>
        <w:jc w:val="center"/>
        <w:rPr>
          <w:sz w:val="28"/>
          <w:szCs w:val="28"/>
        </w:rPr>
      </w:pPr>
      <w:r w:rsidRPr="00203398">
        <w:rPr>
          <w:sz w:val="28"/>
          <w:szCs w:val="28"/>
        </w:rPr>
        <w:t>School of Business</w:t>
      </w:r>
      <w:r w:rsidR="00C63B32">
        <w:rPr>
          <w:sz w:val="28"/>
          <w:szCs w:val="28"/>
        </w:rPr>
        <w:t xml:space="preserve"> &amp; Economics</w:t>
      </w:r>
    </w:p>
    <w:p w:rsidR="006F6ACD" w:rsidRDefault="004E19CB" w:rsidP="00E94F83">
      <w:pPr>
        <w:spacing w:after="0" w:line="360" w:lineRule="auto"/>
        <w:jc w:val="center"/>
        <w:rPr>
          <w:sz w:val="28"/>
          <w:szCs w:val="28"/>
        </w:rPr>
      </w:pPr>
      <w:r>
        <w:rPr>
          <w:sz w:val="28"/>
          <w:szCs w:val="28"/>
        </w:rPr>
        <w:t>United International University</w:t>
      </w:r>
    </w:p>
    <w:p w:rsidR="00E94F83" w:rsidRDefault="00E94F83" w:rsidP="00203398">
      <w:pPr>
        <w:jc w:val="center"/>
        <w:rPr>
          <w:sz w:val="28"/>
          <w:szCs w:val="28"/>
        </w:rPr>
      </w:pPr>
    </w:p>
    <w:p w:rsidR="00203398" w:rsidRDefault="00E94F83" w:rsidP="00E94F83">
      <w:pPr>
        <w:jc w:val="center"/>
        <w:rPr>
          <w:b/>
          <w:sz w:val="32"/>
          <w:szCs w:val="32"/>
        </w:rPr>
      </w:pPr>
      <w:r>
        <w:rPr>
          <w:sz w:val="28"/>
          <w:szCs w:val="28"/>
        </w:rPr>
        <w:t xml:space="preserve">Submission Date: </w:t>
      </w:r>
      <w:r w:rsidR="00C40494">
        <w:rPr>
          <w:sz w:val="28"/>
          <w:szCs w:val="28"/>
        </w:rPr>
        <w:t>June 08</w:t>
      </w:r>
      <w:r>
        <w:rPr>
          <w:sz w:val="28"/>
          <w:szCs w:val="28"/>
        </w:rPr>
        <w:t>, 2020</w:t>
      </w:r>
      <w:r w:rsidR="00BF3F62">
        <w:rPr>
          <w:b/>
          <w:sz w:val="32"/>
          <w:szCs w:val="32"/>
        </w:rPr>
        <w:br w:type="page"/>
      </w:r>
    </w:p>
    <w:p w:rsidR="00E076B6" w:rsidRPr="00E97C9B" w:rsidRDefault="00E076B6" w:rsidP="00E076B6">
      <w:pPr>
        <w:jc w:val="center"/>
        <w:rPr>
          <w:b/>
          <w:sz w:val="32"/>
          <w:szCs w:val="32"/>
        </w:rPr>
      </w:pPr>
      <w:r w:rsidRPr="00E97C9B">
        <w:rPr>
          <w:b/>
          <w:sz w:val="32"/>
          <w:szCs w:val="32"/>
        </w:rPr>
        <w:lastRenderedPageBreak/>
        <w:t>Letter of Transmittal</w:t>
      </w:r>
    </w:p>
    <w:p w:rsidR="00C126EC" w:rsidRDefault="00C126EC" w:rsidP="00E076B6">
      <w:pPr>
        <w:rPr>
          <w:sz w:val="24"/>
          <w:szCs w:val="24"/>
        </w:rPr>
      </w:pPr>
      <w:r>
        <w:rPr>
          <w:sz w:val="24"/>
          <w:szCs w:val="24"/>
        </w:rPr>
        <w:t>08.06.2020</w:t>
      </w:r>
    </w:p>
    <w:p w:rsidR="00E076B6" w:rsidRDefault="00E076B6" w:rsidP="00E076B6">
      <w:pPr>
        <w:rPr>
          <w:sz w:val="24"/>
          <w:szCs w:val="24"/>
        </w:rPr>
      </w:pPr>
      <w:r>
        <w:rPr>
          <w:sz w:val="24"/>
          <w:szCs w:val="24"/>
        </w:rPr>
        <w:t xml:space="preserve">Muhammad </w:t>
      </w:r>
      <w:proofErr w:type="spellStart"/>
      <w:r>
        <w:rPr>
          <w:sz w:val="24"/>
          <w:szCs w:val="24"/>
        </w:rPr>
        <w:t>Enamul</w:t>
      </w:r>
      <w:proofErr w:type="spellEnd"/>
      <w:r>
        <w:rPr>
          <w:sz w:val="24"/>
          <w:szCs w:val="24"/>
        </w:rPr>
        <w:t xml:space="preserve"> </w:t>
      </w:r>
      <w:proofErr w:type="spellStart"/>
      <w:r>
        <w:rPr>
          <w:sz w:val="24"/>
          <w:szCs w:val="24"/>
        </w:rPr>
        <w:t>Haque</w:t>
      </w:r>
      <w:proofErr w:type="spellEnd"/>
    </w:p>
    <w:p w:rsidR="00E076B6" w:rsidRDefault="00E076B6" w:rsidP="00E076B6">
      <w:pPr>
        <w:rPr>
          <w:sz w:val="24"/>
          <w:szCs w:val="24"/>
        </w:rPr>
      </w:pPr>
      <w:r>
        <w:rPr>
          <w:sz w:val="24"/>
          <w:szCs w:val="24"/>
        </w:rPr>
        <w:t>Assistant Professor</w:t>
      </w:r>
    </w:p>
    <w:p w:rsidR="00E076B6" w:rsidRPr="00E076B6" w:rsidRDefault="00E076B6" w:rsidP="00E076B6">
      <w:pPr>
        <w:rPr>
          <w:sz w:val="24"/>
          <w:szCs w:val="24"/>
        </w:rPr>
      </w:pPr>
      <w:r>
        <w:rPr>
          <w:sz w:val="24"/>
          <w:szCs w:val="24"/>
        </w:rPr>
        <w:t>United International University</w:t>
      </w:r>
    </w:p>
    <w:p w:rsidR="00E076B6" w:rsidRDefault="00E076B6">
      <w:pPr>
        <w:rPr>
          <w:b/>
          <w:sz w:val="24"/>
          <w:szCs w:val="24"/>
        </w:rPr>
      </w:pPr>
    </w:p>
    <w:p w:rsidR="004D25B6" w:rsidRPr="004D25B6" w:rsidRDefault="00E076B6" w:rsidP="004D25B6">
      <w:pPr>
        <w:rPr>
          <w:i/>
          <w:sz w:val="24"/>
          <w:szCs w:val="24"/>
        </w:rPr>
      </w:pPr>
      <w:r>
        <w:rPr>
          <w:b/>
          <w:sz w:val="24"/>
          <w:szCs w:val="24"/>
        </w:rPr>
        <w:t xml:space="preserve">Subject: </w:t>
      </w:r>
      <w:r w:rsidR="000F7DFF" w:rsidRPr="004D25B6">
        <w:rPr>
          <w:sz w:val="24"/>
          <w:szCs w:val="24"/>
        </w:rPr>
        <w:t xml:space="preserve">Analysis of </w:t>
      </w:r>
      <w:r w:rsidRPr="004D25B6">
        <w:rPr>
          <w:sz w:val="24"/>
          <w:szCs w:val="24"/>
        </w:rPr>
        <w:t>Financial</w:t>
      </w:r>
      <w:r w:rsidR="00EC2117" w:rsidRPr="004D25B6">
        <w:rPr>
          <w:sz w:val="24"/>
          <w:szCs w:val="24"/>
        </w:rPr>
        <w:t xml:space="preserve"> Performance</w:t>
      </w:r>
      <w:r w:rsidR="004D25B6" w:rsidRPr="004D25B6">
        <w:rPr>
          <w:sz w:val="24"/>
          <w:szCs w:val="24"/>
        </w:rPr>
        <w:t>:</w:t>
      </w:r>
      <w:r w:rsidR="004D25B6" w:rsidRPr="004D25B6">
        <w:rPr>
          <w:i/>
          <w:sz w:val="24"/>
          <w:szCs w:val="24"/>
        </w:rPr>
        <w:t xml:space="preserve"> A Case Study of Prime Bank Limited (PBL)</w:t>
      </w:r>
    </w:p>
    <w:p w:rsidR="00E076B6" w:rsidRDefault="00E076B6" w:rsidP="009577C4">
      <w:pPr>
        <w:jc w:val="both"/>
        <w:rPr>
          <w:sz w:val="24"/>
          <w:szCs w:val="24"/>
        </w:rPr>
      </w:pPr>
    </w:p>
    <w:p w:rsidR="00E076B6" w:rsidRDefault="00E076B6" w:rsidP="009577C4">
      <w:pPr>
        <w:jc w:val="both"/>
        <w:rPr>
          <w:sz w:val="24"/>
          <w:szCs w:val="24"/>
        </w:rPr>
      </w:pPr>
      <w:r>
        <w:rPr>
          <w:sz w:val="24"/>
          <w:szCs w:val="24"/>
        </w:rPr>
        <w:t>Dear Sir,</w:t>
      </w:r>
    </w:p>
    <w:p w:rsidR="00E076B6" w:rsidRDefault="00E076B6" w:rsidP="009577C4">
      <w:pPr>
        <w:jc w:val="both"/>
        <w:rPr>
          <w:sz w:val="24"/>
          <w:szCs w:val="24"/>
        </w:rPr>
      </w:pPr>
      <w:r>
        <w:rPr>
          <w:sz w:val="24"/>
          <w:szCs w:val="24"/>
        </w:rPr>
        <w:t>With due respect I would like to inform you that it is a great pleasure for me to submit this intern report and it would be my great pleasure if you find this report informative to have an idea of recent status of PBL.</w:t>
      </w:r>
    </w:p>
    <w:p w:rsidR="00E076B6" w:rsidRDefault="00E076B6" w:rsidP="009577C4">
      <w:pPr>
        <w:jc w:val="both"/>
        <w:rPr>
          <w:sz w:val="24"/>
          <w:szCs w:val="24"/>
        </w:rPr>
      </w:pPr>
      <w:r>
        <w:rPr>
          <w:sz w:val="24"/>
          <w:szCs w:val="24"/>
        </w:rPr>
        <w:t>I would like to express my sincere gratitude to you for your kind guidance and suggestion on preparing this report. During my internship period I discovered different aspects of banking industry. Any sort of suggestion relating to this report will be greatly acknowledged. I thank you very much for letting me to have the opportunity to work on my internship report and really hope to meet your expectations and standards.</w:t>
      </w:r>
    </w:p>
    <w:p w:rsidR="00E076B6" w:rsidRDefault="00E076B6">
      <w:pPr>
        <w:rPr>
          <w:sz w:val="24"/>
          <w:szCs w:val="24"/>
        </w:rPr>
      </w:pPr>
    </w:p>
    <w:p w:rsidR="00E076B6" w:rsidRDefault="00E076B6">
      <w:pPr>
        <w:rPr>
          <w:sz w:val="24"/>
          <w:szCs w:val="24"/>
        </w:rPr>
      </w:pPr>
      <w:r>
        <w:rPr>
          <w:sz w:val="24"/>
          <w:szCs w:val="24"/>
        </w:rPr>
        <w:t>Sincerely yours,</w:t>
      </w:r>
    </w:p>
    <w:p w:rsidR="00E076B6" w:rsidRDefault="00E076B6">
      <w:pPr>
        <w:rPr>
          <w:sz w:val="24"/>
          <w:szCs w:val="24"/>
        </w:rPr>
      </w:pPr>
      <w:r>
        <w:rPr>
          <w:sz w:val="24"/>
          <w:szCs w:val="24"/>
        </w:rPr>
        <w:t>…………………….</w:t>
      </w:r>
    </w:p>
    <w:p w:rsidR="00E076B6" w:rsidRDefault="00E076B6">
      <w:pPr>
        <w:rPr>
          <w:sz w:val="24"/>
          <w:szCs w:val="24"/>
        </w:rPr>
      </w:pPr>
      <w:proofErr w:type="spellStart"/>
      <w:r>
        <w:rPr>
          <w:sz w:val="24"/>
          <w:szCs w:val="24"/>
        </w:rPr>
        <w:t>Sadman</w:t>
      </w:r>
      <w:proofErr w:type="spellEnd"/>
      <w:r>
        <w:rPr>
          <w:sz w:val="24"/>
          <w:szCs w:val="24"/>
        </w:rPr>
        <w:t xml:space="preserve"> </w:t>
      </w:r>
      <w:proofErr w:type="spellStart"/>
      <w:r>
        <w:rPr>
          <w:sz w:val="24"/>
          <w:szCs w:val="24"/>
        </w:rPr>
        <w:t>Sharar</w:t>
      </w:r>
      <w:proofErr w:type="spellEnd"/>
    </w:p>
    <w:p w:rsidR="00E076B6" w:rsidRDefault="00AA19C2">
      <w:pPr>
        <w:rPr>
          <w:sz w:val="24"/>
          <w:szCs w:val="24"/>
        </w:rPr>
      </w:pPr>
      <w:proofErr w:type="gramStart"/>
      <w:r>
        <w:rPr>
          <w:sz w:val="24"/>
          <w:szCs w:val="24"/>
        </w:rPr>
        <w:t>ID :</w:t>
      </w:r>
      <w:proofErr w:type="gramEnd"/>
      <w:r>
        <w:rPr>
          <w:sz w:val="24"/>
          <w:szCs w:val="24"/>
        </w:rPr>
        <w:t xml:space="preserve"> </w:t>
      </w:r>
      <w:r w:rsidR="00E076B6">
        <w:rPr>
          <w:sz w:val="24"/>
          <w:szCs w:val="24"/>
        </w:rPr>
        <w:t>111 161 148</w:t>
      </w:r>
    </w:p>
    <w:p w:rsidR="00AA19C2" w:rsidRDefault="00AA19C2">
      <w:pPr>
        <w:rPr>
          <w:sz w:val="24"/>
          <w:szCs w:val="24"/>
        </w:rPr>
      </w:pPr>
      <w:r>
        <w:rPr>
          <w:sz w:val="24"/>
          <w:szCs w:val="24"/>
        </w:rPr>
        <w:t>School of Business</w:t>
      </w:r>
      <w:r w:rsidR="000F7DFF">
        <w:rPr>
          <w:sz w:val="24"/>
          <w:szCs w:val="24"/>
        </w:rPr>
        <w:t xml:space="preserve"> &amp; Economics</w:t>
      </w:r>
    </w:p>
    <w:p w:rsidR="00AA19C2" w:rsidRDefault="00AA19C2">
      <w:pPr>
        <w:rPr>
          <w:sz w:val="24"/>
          <w:szCs w:val="24"/>
        </w:rPr>
      </w:pPr>
      <w:r>
        <w:rPr>
          <w:sz w:val="24"/>
          <w:szCs w:val="24"/>
        </w:rPr>
        <w:t>BBA</w:t>
      </w:r>
    </w:p>
    <w:p w:rsidR="00E076B6" w:rsidRPr="00E076B6" w:rsidRDefault="00E076B6">
      <w:pPr>
        <w:rPr>
          <w:sz w:val="24"/>
          <w:szCs w:val="24"/>
        </w:rPr>
      </w:pPr>
      <w:r>
        <w:rPr>
          <w:sz w:val="24"/>
          <w:szCs w:val="24"/>
        </w:rPr>
        <w:t>United International University</w:t>
      </w:r>
    </w:p>
    <w:p w:rsidR="00E076B6" w:rsidRDefault="00E076B6">
      <w:pPr>
        <w:rPr>
          <w:b/>
          <w:sz w:val="24"/>
          <w:szCs w:val="24"/>
        </w:rPr>
      </w:pPr>
      <w:r>
        <w:rPr>
          <w:b/>
          <w:sz w:val="24"/>
          <w:szCs w:val="24"/>
        </w:rPr>
        <w:br w:type="page"/>
      </w:r>
    </w:p>
    <w:p w:rsidR="00E076B6" w:rsidRDefault="00E076B6" w:rsidP="00E076B6">
      <w:pPr>
        <w:jc w:val="center"/>
        <w:rPr>
          <w:b/>
          <w:sz w:val="32"/>
          <w:szCs w:val="32"/>
        </w:rPr>
      </w:pPr>
      <w:r w:rsidRPr="009E3020">
        <w:rPr>
          <w:b/>
          <w:sz w:val="32"/>
          <w:szCs w:val="32"/>
        </w:rPr>
        <w:lastRenderedPageBreak/>
        <w:t>Acknowledgement</w:t>
      </w:r>
    </w:p>
    <w:p w:rsidR="009E3020" w:rsidRPr="009E3020" w:rsidRDefault="009E3020" w:rsidP="009577C4">
      <w:pPr>
        <w:jc w:val="both"/>
        <w:rPr>
          <w:b/>
          <w:sz w:val="32"/>
          <w:szCs w:val="32"/>
        </w:rPr>
      </w:pPr>
    </w:p>
    <w:p w:rsidR="00E076B6" w:rsidRPr="000A7E81" w:rsidRDefault="000A7E81" w:rsidP="009577C4">
      <w:pPr>
        <w:jc w:val="both"/>
        <w:rPr>
          <w:sz w:val="24"/>
          <w:szCs w:val="24"/>
        </w:rPr>
      </w:pPr>
      <w:r w:rsidRPr="000A7E81">
        <w:rPr>
          <w:sz w:val="24"/>
          <w:szCs w:val="24"/>
        </w:rPr>
        <w:t>At first I would</w:t>
      </w:r>
      <w:r>
        <w:rPr>
          <w:sz w:val="24"/>
          <w:szCs w:val="24"/>
        </w:rPr>
        <w:t xml:space="preserve"> I would like to thank my gratitude to Almighty Allah for giving me the strength to complete the report. </w:t>
      </w:r>
      <w:r w:rsidR="009E3020">
        <w:rPr>
          <w:sz w:val="24"/>
          <w:szCs w:val="24"/>
        </w:rPr>
        <w:t xml:space="preserve">I acknowledge my immeasurable gratitude to my Honorable faculty Muhammad </w:t>
      </w:r>
      <w:proofErr w:type="spellStart"/>
      <w:r w:rsidR="009E3020">
        <w:rPr>
          <w:sz w:val="24"/>
          <w:szCs w:val="24"/>
        </w:rPr>
        <w:t>Enamul</w:t>
      </w:r>
      <w:proofErr w:type="spellEnd"/>
      <w:r w:rsidR="009E3020">
        <w:rPr>
          <w:sz w:val="24"/>
          <w:szCs w:val="24"/>
        </w:rPr>
        <w:t xml:space="preserve"> </w:t>
      </w:r>
      <w:proofErr w:type="spellStart"/>
      <w:r w:rsidR="009E3020">
        <w:rPr>
          <w:sz w:val="24"/>
          <w:szCs w:val="24"/>
        </w:rPr>
        <w:t>Haque</w:t>
      </w:r>
      <w:proofErr w:type="spellEnd"/>
      <w:r w:rsidR="009E3020">
        <w:rPr>
          <w:sz w:val="24"/>
          <w:szCs w:val="24"/>
        </w:rPr>
        <w:t xml:space="preserve"> (Assistant Professor), for supporting</w:t>
      </w:r>
      <w:r w:rsidR="00EF64A7">
        <w:rPr>
          <w:sz w:val="24"/>
          <w:szCs w:val="24"/>
        </w:rPr>
        <w:t xml:space="preserve"> me</w:t>
      </w:r>
      <w:r w:rsidR="009E3020">
        <w:rPr>
          <w:sz w:val="24"/>
          <w:szCs w:val="24"/>
        </w:rPr>
        <w:t xml:space="preserve"> in creating this report from where I </w:t>
      </w:r>
      <w:r w:rsidR="00EF64A7">
        <w:rPr>
          <w:sz w:val="24"/>
          <w:szCs w:val="24"/>
        </w:rPr>
        <w:t>have</w:t>
      </w:r>
      <w:r w:rsidR="009E3020">
        <w:rPr>
          <w:sz w:val="24"/>
          <w:szCs w:val="24"/>
        </w:rPr>
        <w:t xml:space="preserve"> learn</w:t>
      </w:r>
      <w:r w:rsidR="00EF64A7">
        <w:rPr>
          <w:sz w:val="24"/>
          <w:szCs w:val="24"/>
        </w:rPr>
        <w:t>ed</w:t>
      </w:r>
      <w:r w:rsidR="009E3020">
        <w:rPr>
          <w:sz w:val="24"/>
          <w:szCs w:val="24"/>
        </w:rPr>
        <w:t xml:space="preserve"> many things about financial statements. I note his contribution with high dignity. </w:t>
      </w:r>
      <w:r>
        <w:rPr>
          <w:sz w:val="24"/>
          <w:szCs w:val="24"/>
        </w:rPr>
        <w:t xml:space="preserve">Then I would like to express my gratitude to </w:t>
      </w:r>
      <w:proofErr w:type="spellStart"/>
      <w:r>
        <w:rPr>
          <w:sz w:val="24"/>
          <w:szCs w:val="24"/>
        </w:rPr>
        <w:t>Nazrul</w:t>
      </w:r>
      <w:proofErr w:type="spellEnd"/>
      <w:r>
        <w:rPr>
          <w:sz w:val="24"/>
          <w:szCs w:val="24"/>
        </w:rPr>
        <w:t xml:space="preserve"> Islam (VP), </w:t>
      </w:r>
      <w:proofErr w:type="spellStart"/>
      <w:r>
        <w:rPr>
          <w:sz w:val="24"/>
          <w:szCs w:val="24"/>
        </w:rPr>
        <w:t>Sharmin</w:t>
      </w:r>
      <w:proofErr w:type="spellEnd"/>
      <w:r>
        <w:rPr>
          <w:sz w:val="24"/>
          <w:szCs w:val="24"/>
        </w:rPr>
        <w:t xml:space="preserve"> </w:t>
      </w:r>
      <w:proofErr w:type="spellStart"/>
      <w:r>
        <w:rPr>
          <w:sz w:val="24"/>
          <w:szCs w:val="24"/>
        </w:rPr>
        <w:t>Akter</w:t>
      </w:r>
      <w:proofErr w:type="spellEnd"/>
      <w:r>
        <w:rPr>
          <w:sz w:val="24"/>
          <w:szCs w:val="24"/>
        </w:rPr>
        <w:t xml:space="preserve"> (AVP) of PBL</w:t>
      </w:r>
      <w:r w:rsidR="009E3020">
        <w:rPr>
          <w:sz w:val="24"/>
          <w:szCs w:val="24"/>
        </w:rPr>
        <w:t>,</w:t>
      </w:r>
      <w:r>
        <w:rPr>
          <w:sz w:val="24"/>
          <w:szCs w:val="24"/>
        </w:rPr>
        <w:t xml:space="preserve"> SMR Branch for giving me time and sharing their thoughts. </w:t>
      </w:r>
    </w:p>
    <w:p w:rsidR="00E076B6" w:rsidRDefault="00E076B6">
      <w:pPr>
        <w:rPr>
          <w:b/>
          <w:sz w:val="24"/>
          <w:szCs w:val="24"/>
        </w:rPr>
      </w:pPr>
      <w:r>
        <w:rPr>
          <w:b/>
          <w:sz w:val="24"/>
          <w:szCs w:val="24"/>
        </w:rPr>
        <w:br w:type="page"/>
      </w:r>
    </w:p>
    <w:p w:rsidR="00FF2BE7" w:rsidRDefault="00FF2BE7" w:rsidP="00BF3F62">
      <w:pPr>
        <w:jc w:val="center"/>
        <w:rPr>
          <w:b/>
          <w:sz w:val="32"/>
          <w:szCs w:val="32"/>
        </w:rPr>
      </w:pPr>
    </w:p>
    <w:p w:rsidR="00BF3F62" w:rsidRDefault="00BF3F62" w:rsidP="00BF3F62">
      <w:pPr>
        <w:jc w:val="center"/>
        <w:rPr>
          <w:b/>
          <w:sz w:val="32"/>
          <w:szCs w:val="32"/>
        </w:rPr>
      </w:pPr>
      <w:r w:rsidRPr="00AA19C2">
        <w:rPr>
          <w:b/>
          <w:sz w:val="32"/>
          <w:szCs w:val="32"/>
        </w:rPr>
        <w:t>Executive Summary</w:t>
      </w:r>
    </w:p>
    <w:p w:rsidR="00FF2BE7" w:rsidRPr="00AA19C2" w:rsidRDefault="00FF2BE7" w:rsidP="00574015">
      <w:pPr>
        <w:jc w:val="both"/>
        <w:rPr>
          <w:b/>
          <w:sz w:val="32"/>
          <w:szCs w:val="32"/>
        </w:rPr>
      </w:pPr>
    </w:p>
    <w:p w:rsidR="00BF3F62" w:rsidRPr="00BF3F62" w:rsidRDefault="00574015" w:rsidP="00574015">
      <w:pPr>
        <w:jc w:val="both"/>
        <w:rPr>
          <w:sz w:val="24"/>
          <w:szCs w:val="24"/>
        </w:rPr>
      </w:pPr>
      <w:r>
        <w:rPr>
          <w:sz w:val="24"/>
          <w:szCs w:val="24"/>
        </w:rPr>
        <w:t>The prime objective is to</w:t>
      </w:r>
      <w:r w:rsidR="00BF3F62">
        <w:rPr>
          <w:sz w:val="24"/>
          <w:szCs w:val="24"/>
        </w:rPr>
        <w:t xml:space="preserve"> </w:t>
      </w:r>
      <w:r>
        <w:rPr>
          <w:sz w:val="24"/>
          <w:szCs w:val="24"/>
        </w:rPr>
        <w:t>measure the f</w:t>
      </w:r>
      <w:r w:rsidR="00BF3F62">
        <w:rPr>
          <w:sz w:val="24"/>
          <w:szCs w:val="24"/>
        </w:rPr>
        <w:t xml:space="preserve">inancial </w:t>
      </w:r>
      <w:r>
        <w:rPr>
          <w:sz w:val="24"/>
          <w:szCs w:val="24"/>
        </w:rPr>
        <w:t>p</w:t>
      </w:r>
      <w:r w:rsidR="0078793F">
        <w:rPr>
          <w:sz w:val="24"/>
          <w:szCs w:val="24"/>
        </w:rPr>
        <w:t>erformance</w:t>
      </w:r>
      <w:r>
        <w:rPr>
          <w:sz w:val="24"/>
          <w:szCs w:val="24"/>
        </w:rPr>
        <w:t xml:space="preserve"> a</w:t>
      </w:r>
      <w:r w:rsidR="00BF3F62">
        <w:rPr>
          <w:sz w:val="24"/>
          <w:szCs w:val="24"/>
        </w:rPr>
        <w:t xml:space="preserve">nalysis of Prime Bank Limited. </w:t>
      </w:r>
      <w:r>
        <w:rPr>
          <w:sz w:val="24"/>
          <w:szCs w:val="24"/>
        </w:rPr>
        <w:t>I analyzed the bank’s financial performances using the most widely accepted tool of ratio analysis</w:t>
      </w:r>
      <w:r w:rsidR="00A91C3E">
        <w:rPr>
          <w:sz w:val="24"/>
          <w:szCs w:val="24"/>
        </w:rPr>
        <w:t xml:space="preserve">. I </w:t>
      </w:r>
      <w:r>
        <w:rPr>
          <w:sz w:val="24"/>
          <w:szCs w:val="24"/>
        </w:rPr>
        <w:t>applied financial</w:t>
      </w:r>
      <w:r w:rsidR="00A91C3E">
        <w:rPr>
          <w:sz w:val="24"/>
          <w:szCs w:val="24"/>
        </w:rPr>
        <w:t xml:space="preserve"> </w:t>
      </w:r>
      <w:r>
        <w:rPr>
          <w:sz w:val="24"/>
          <w:szCs w:val="24"/>
        </w:rPr>
        <w:t>statement data</w:t>
      </w:r>
      <w:r w:rsidR="00A91C3E">
        <w:rPr>
          <w:sz w:val="24"/>
          <w:szCs w:val="24"/>
        </w:rPr>
        <w:t xml:space="preserve"> over the </w:t>
      </w:r>
      <w:r>
        <w:rPr>
          <w:sz w:val="24"/>
          <w:szCs w:val="24"/>
        </w:rPr>
        <w:t>period of 2014-2018</w:t>
      </w:r>
      <w:r w:rsidR="00A91C3E">
        <w:rPr>
          <w:sz w:val="24"/>
          <w:szCs w:val="24"/>
        </w:rPr>
        <w:t>. After preparing this report I have come to know that an</w:t>
      </w:r>
      <w:r>
        <w:rPr>
          <w:sz w:val="24"/>
          <w:szCs w:val="24"/>
        </w:rPr>
        <w:t>alysis of financial statements h</w:t>
      </w:r>
      <w:r w:rsidR="00A91C3E">
        <w:rPr>
          <w:sz w:val="24"/>
          <w:szCs w:val="24"/>
        </w:rPr>
        <w:t>elp</w:t>
      </w:r>
      <w:r w:rsidR="00F92668">
        <w:rPr>
          <w:sz w:val="24"/>
          <w:szCs w:val="24"/>
        </w:rPr>
        <w:t>s</w:t>
      </w:r>
      <w:r w:rsidR="00A91C3E">
        <w:rPr>
          <w:sz w:val="24"/>
          <w:szCs w:val="24"/>
        </w:rPr>
        <w:t xml:space="preserve"> to overcome financial shortcomings and make future decision and strategies.</w:t>
      </w:r>
      <w:r w:rsidR="00015D61">
        <w:rPr>
          <w:sz w:val="24"/>
          <w:szCs w:val="24"/>
        </w:rPr>
        <w:t xml:space="preserve"> </w:t>
      </w:r>
      <w:r>
        <w:rPr>
          <w:sz w:val="24"/>
          <w:szCs w:val="24"/>
        </w:rPr>
        <w:t>Prime bank</w:t>
      </w:r>
      <w:r w:rsidR="00015D61">
        <w:rPr>
          <w:sz w:val="24"/>
          <w:szCs w:val="24"/>
        </w:rPr>
        <w:t xml:space="preserve"> maintained a suitable and attractive position </w:t>
      </w:r>
      <w:r w:rsidR="00011345">
        <w:rPr>
          <w:sz w:val="24"/>
          <w:szCs w:val="24"/>
        </w:rPr>
        <w:t>before</w:t>
      </w:r>
      <w:r w:rsidR="00015D61">
        <w:rPr>
          <w:sz w:val="24"/>
          <w:szCs w:val="24"/>
        </w:rPr>
        <w:t xml:space="preserve"> 2014. </w:t>
      </w:r>
      <w:r>
        <w:rPr>
          <w:sz w:val="24"/>
          <w:szCs w:val="24"/>
        </w:rPr>
        <w:t xml:space="preserve">The different dimensions are used to measure </w:t>
      </w:r>
      <w:r w:rsidR="00F92668">
        <w:rPr>
          <w:sz w:val="24"/>
          <w:szCs w:val="24"/>
        </w:rPr>
        <w:t>the bank’s</w:t>
      </w:r>
      <w:r>
        <w:rPr>
          <w:sz w:val="24"/>
          <w:szCs w:val="24"/>
        </w:rPr>
        <w:t xml:space="preserve"> overall </w:t>
      </w:r>
      <w:r w:rsidR="009577C4">
        <w:rPr>
          <w:sz w:val="24"/>
          <w:szCs w:val="24"/>
        </w:rPr>
        <w:t>performances. The</w:t>
      </w:r>
      <w:r w:rsidR="00015D61">
        <w:rPr>
          <w:sz w:val="24"/>
          <w:szCs w:val="24"/>
        </w:rPr>
        <w:t xml:space="preserve"> liquidity position of Prime Bank ltd has gone low than before after the year 2014. If we focus on Profitability ratios such as ROA and ROE we can say that in 2018 both the ratios were not in a comfortable position compared to 2014. </w:t>
      </w:r>
      <w:r w:rsidR="00A73117">
        <w:rPr>
          <w:sz w:val="24"/>
          <w:szCs w:val="24"/>
        </w:rPr>
        <w:t xml:space="preserve">On the positive </w:t>
      </w:r>
      <w:r w:rsidR="00B1650C">
        <w:rPr>
          <w:sz w:val="24"/>
          <w:szCs w:val="24"/>
        </w:rPr>
        <w:t>note,</w:t>
      </w:r>
      <w:r w:rsidR="00A73117">
        <w:rPr>
          <w:sz w:val="24"/>
          <w:szCs w:val="24"/>
        </w:rPr>
        <w:t xml:space="preserve"> </w:t>
      </w:r>
      <w:r w:rsidR="002926A0">
        <w:rPr>
          <w:sz w:val="24"/>
          <w:szCs w:val="24"/>
        </w:rPr>
        <w:t xml:space="preserve">if we focus on the turnover ratios the </w:t>
      </w:r>
      <w:r w:rsidR="00A73117">
        <w:rPr>
          <w:sz w:val="24"/>
          <w:szCs w:val="24"/>
        </w:rPr>
        <w:t xml:space="preserve">Net Interest Margin was good </w:t>
      </w:r>
      <w:r w:rsidR="00B1650C">
        <w:rPr>
          <w:sz w:val="24"/>
          <w:szCs w:val="24"/>
        </w:rPr>
        <w:t>compared to previous years and kept a good operating efficiency</w:t>
      </w:r>
      <w:r w:rsidR="00157B68">
        <w:rPr>
          <w:sz w:val="24"/>
          <w:szCs w:val="24"/>
        </w:rPr>
        <w:t xml:space="preserve"> in the recent</w:t>
      </w:r>
      <w:r w:rsidR="002926A0">
        <w:rPr>
          <w:sz w:val="24"/>
          <w:szCs w:val="24"/>
        </w:rPr>
        <w:t xml:space="preserve"> years</w:t>
      </w:r>
      <w:r w:rsidR="00B1650C">
        <w:rPr>
          <w:sz w:val="24"/>
          <w:szCs w:val="24"/>
        </w:rPr>
        <w:t>. Bank also maintained a stable debt position.</w:t>
      </w:r>
      <w:r w:rsidR="00011345">
        <w:rPr>
          <w:sz w:val="24"/>
          <w:szCs w:val="24"/>
        </w:rPr>
        <w:t xml:space="preserve"> Although industry lost some of its momentum due increase in non-performing loan PBL maintained a very low NPL rate.</w:t>
      </w:r>
      <w:r w:rsidR="00B1650C">
        <w:rPr>
          <w:sz w:val="24"/>
          <w:szCs w:val="24"/>
        </w:rPr>
        <w:t xml:space="preserve"> If we look at market value th</w:t>
      </w:r>
      <w:r w:rsidR="00F92668">
        <w:rPr>
          <w:sz w:val="24"/>
          <w:szCs w:val="24"/>
        </w:rPr>
        <w:t>e price-</w:t>
      </w:r>
      <w:r w:rsidR="00B1650C">
        <w:rPr>
          <w:sz w:val="24"/>
          <w:szCs w:val="24"/>
        </w:rPr>
        <w:t>earnings ratio increased over the years but EPS has decreased compared to 2014.</w:t>
      </w:r>
      <w:r w:rsidR="002926A0">
        <w:rPr>
          <w:sz w:val="24"/>
          <w:szCs w:val="24"/>
        </w:rPr>
        <w:t xml:space="preserve"> In the last part I have also done the analysis of DuPont to breakdown ROE.</w:t>
      </w:r>
      <w:bookmarkStart w:id="0" w:name="_GoBack"/>
      <w:bookmarkEnd w:id="0"/>
    </w:p>
    <w:p w:rsidR="00BF3F62" w:rsidRDefault="00BF3F62">
      <w:pPr>
        <w:rPr>
          <w:b/>
          <w:sz w:val="24"/>
          <w:szCs w:val="24"/>
        </w:rPr>
      </w:pPr>
      <w:r>
        <w:rPr>
          <w:b/>
          <w:sz w:val="24"/>
          <w:szCs w:val="24"/>
        </w:rPr>
        <w:br w:type="page"/>
      </w:r>
    </w:p>
    <w:sdt>
      <w:sdtPr>
        <w:rPr>
          <w:rFonts w:asciiTheme="minorHAnsi" w:eastAsiaTheme="minorEastAsia" w:hAnsiTheme="minorHAnsi" w:cstheme="minorBidi"/>
          <w:b w:val="0"/>
          <w:bCs w:val="0"/>
          <w:color w:val="auto"/>
          <w:sz w:val="22"/>
          <w:szCs w:val="22"/>
        </w:rPr>
        <w:id w:val="2524456"/>
        <w:docPartObj>
          <w:docPartGallery w:val="Table of Contents"/>
          <w:docPartUnique/>
        </w:docPartObj>
      </w:sdtPr>
      <w:sdtEndPr/>
      <w:sdtContent>
        <w:p w:rsidR="006342B5" w:rsidRDefault="006342B5">
          <w:pPr>
            <w:pStyle w:val="TOCHeading"/>
          </w:pPr>
          <w:r>
            <w:t>Table of Contents</w:t>
          </w:r>
        </w:p>
        <w:p w:rsidR="00DD4EBF" w:rsidRDefault="00DD4EBF" w:rsidP="00DD4EBF">
          <w:pPr>
            <w:pStyle w:val="TOC1"/>
          </w:pPr>
          <w:r>
            <w:rPr>
              <w:b/>
            </w:rPr>
            <w:t>Chapter 1 Introduction</w:t>
          </w:r>
          <w:r>
            <w:ptab w:relativeTo="margin" w:alignment="right" w:leader="dot"/>
          </w:r>
          <w:r>
            <w:t>6</w:t>
          </w:r>
        </w:p>
        <w:p w:rsidR="00DD4EBF" w:rsidRDefault="00DD4EBF">
          <w:pPr>
            <w:pStyle w:val="TOC1"/>
          </w:pPr>
          <w:r>
            <w:t xml:space="preserve">     1.1 </w:t>
          </w:r>
          <w:r w:rsidR="00416EE8">
            <w:t>Background</w:t>
          </w:r>
          <w:r>
            <w:t xml:space="preserve"> of the report</w:t>
          </w:r>
          <w:r>
            <w:ptab w:relativeTo="margin" w:alignment="right" w:leader="dot"/>
          </w:r>
          <w:r>
            <w:t>6</w:t>
          </w:r>
        </w:p>
        <w:p w:rsidR="00DD4EBF" w:rsidRPr="00DD4EBF" w:rsidRDefault="00DD4EBF" w:rsidP="00DD4EBF">
          <w:r>
            <w:t xml:space="preserve">     1.2 Objective of the report</w:t>
          </w:r>
          <w:r>
            <w:ptab w:relativeTo="margin" w:alignment="right" w:leader="dot"/>
          </w:r>
          <w:r w:rsidR="00416EE8">
            <w:t>6</w:t>
          </w:r>
        </w:p>
        <w:p w:rsidR="00DD4EBF" w:rsidRDefault="00DD4EBF" w:rsidP="00DD4EBF">
          <w:r>
            <w:t xml:space="preserve">     1.3 Methodology</w:t>
          </w:r>
          <w:r>
            <w:ptab w:relativeTo="margin" w:alignment="right" w:leader="dot"/>
          </w:r>
          <w:r w:rsidR="00416EE8">
            <w:t>7</w:t>
          </w:r>
        </w:p>
        <w:p w:rsidR="000A0E84" w:rsidRPr="00DD4EBF" w:rsidRDefault="000A0E84" w:rsidP="000A0E84">
          <w:r>
            <w:t xml:space="preserve">     1.4 Scope of the report</w:t>
          </w:r>
          <w:r>
            <w:ptab w:relativeTo="margin" w:alignment="right" w:leader="dot"/>
          </w:r>
          <w:r>
            <w:t>7</w:t>
          </w:r>
        </w:p>
        <w:p w:rsidR="00DD4EBF" w:rsidRPr="00DD4EBF" w:rsidRDefault="000A0E84" w:rsidP="00DD4EBF">
          <w:r>
            <w:t xml:space="preserve">     1.5</w:t>
          </w:r>
          <w:r w:rsidR="00DD4EBF">
            <w:t xml:space="preserve"> Limitations of the report</w:t>
          </w:r>
          <w:r w:rsidR="00DD4EBF">
            <w:ptab w:relativeTo="margin" w:alignment="right" w:leader="dot"/>
          </w:r>
          <w:r w:rsidR="00416EE8">
            <w:t>7</w:t>
          </w:r>
        </w:p>
        <w:p w:rsidR="006342B5" w:rsidRDefault="00DD4EBF">
          <w:pPr>
            <w:pStyle w:val="TOC1"/>
          </w:pPr>
          <w:r>
            <w:rPr>
              <w:b/>
            </w:rPr>
            <w:t>Chapter 2</w:t>
          </w:r>
          <w:r w:rsidR="00202AF6">
            <w:rPr>
              <w:b/>
            </w:rPr>
            <w:t xml:space="preserve"> </w:t>
          </w:r>
          <w:r w:rsidR="005379E2">
            <w:rPr>
              <w:b/>
            </w:rPr>
            <w:t>Overview Of PBL</w:t>
          </w:r>
          <w:r w:rsidR="006342B5">
            <w:ptab w:relativeTo="margin" w:alignment="right" w:leader="dot"/>
          </w:r>
          <w:r w:rsidR="00416EE8">
            <w:t>8</w:t>
          </w:r>
        </w:p>
        <w:p w:rsidR="0088337B" w:rsidRDefault="0088337B" w:rsidP="0088337B">
          <w:r>
            <w:t xml:space="preserve">     </w:t>
          </w:r>
          <w:r w:rsidR="00DD4EBF">
            <w:t xml:space="preserve">2.1 </w:t>
          </w:r>
          <w:r>
            <w:t>About PBL</w:t>
          </w:r>
          <w:r>
            <w:ptab w:relativeTo="margin" w:alignment="right" w:leader="dot"/>
          </w:r>
          <w:r w:rsidR="00416EE8">
            <w:t>8</w:t>
          </w:r>
        </w:p>
        <w:p w:rsidR="0088337B" w:rsidRDefault="0088337B" w:rsidP="0088337B">
          <w:r>
            <w:t xml:space="preserve">    </w:t>
          </w:r>
          <w:proofErr w:type="gramStart"/>
          <w:r w:rsidR="00E2185F">
            <w:t>2.2</w:t>
          </w:r>
          <w:r w:rsidR="00DD4EBF">
            <w:t xml:space="preserve"> </w:t>
          </w:r>
          <w:r>
            <w:t xml:space="preserve"> Subsidiaries</w:t>
          </w:r>
          <w:proofErr w:type="gramEnd"/>
          <w:r>
            <w:ptab w:relativeTo="margin" w:alignment="right" w:leader="dot"/>
          </w:r>
          <w:r w:rsidR="00E2185F">
            <w:t>8</w:t>
          </w:r>
        </w:p>
        <w:p w:rsidR="0088337B" w:rsidRDefault="0088337B" w:rsidP="0088337B">
          <w:r>
            <w:t xml:space="preserve">    </w:t>
          </w:r>
          <w:r w:rsidR="00E2185F">
            <w:t>2.3</w:t>
          </w:r>
          <w:r>
            <w:t xml:space="preserve"> Services</w:t>
          </w:r>
          <w:r>
            <w:ptab w:relativeTo="margin" w:alignment="right" w:leader="dot"/>
          </w:r>
          <w:r w:rsidR="00E2185F">
            <w:t>8</w:t>
          </w:r>
        </w:p>
        <w:p w:rsidR="0088337B" w:rsidRDefault="0088337B" w:rsidP="0088337B">
          <w:r>
            <w:t xml:space="preserve">     </w:t>
          </w:r>
          <w:r w:rsidR="00E2185F">
            <w:t>2.4</w:t>
          </w:r>
          <w:r w:rsidR="00DD4EBF">
            <w:t xml:space="preserve"> </w:t>
          </w:r>
          <w:r>
            <w:t>Awards and Achievements</w:t>
          </w:r>
          <w:r>
            <w:ptab w:relativeTo="margin" w:alignment="right" w:leader="dot"/>
          </w:r>
          <w:r w:rsidR="00416EE8">
            <w:t>9</w:t>
          </w:r>
        </w:p>
        <w:p w:rsidR="006B30B2" w:rsidRPr="0088337B" w:rsidRDefault="006B30B2" w:rsidP="0088337B">
          <w:r>
            <w:t xml:space="preserve">     </w:t>
          </w:r>
          <w:r w:rsidR="00E2185F">
            <w:t>2.5</w:t>
          </w:r>
          <w:r w:rsidR="00366CA7">
            <w:t xml:space="preserve"> </w:t>
          </w:r>
          <w:r>
            <w:t>Prime Bank at a glance</w:t>
          </w:r>
          <w:r>
            <w:ptab w:relativeTo="margin" w:alignment="right" w:leader="dot"/>
          </w:r>
          <w:r w:rsidR="00E2185F">
            <w:t>9</w:t>
          </w:r>
        </w:p>
        <w:p w:rsidR="0088337B" w:rsidRDefault="00DD4EBF" w:rsidP="0088337B">
          <w:pPr>
            <w:pStyle w:val="TOC1"/>
          </w:pPr>
          <w:r>
            <w:rPr>
              <w:b/>
            </w:rPr>
            <w:t>Chapter 3</w:t>
          </w:r>
          <w:r w:rsidR="0088337B">
            <w:rPr>
              <w:b/>
            </w:rPr>
            <w:t xml:space="preserve"> Ratio Analysis</w:t>
          </w:r>
          <w:r w:rsidR="0088337B">
            <w:ptab w:relativeTo="margin" w:alignment="right" w:leader="dot"/>
          </w:r>
          <w:r w:rsidR="00E2185F">
            <w:t>10</w:t>
          </w:r>
        </w:p>
        <w:p w:rsidR="006342B5" w:rsidRDefault="0088337B" w:rsidP="0088337B">
          <w:pPr>
            <w:pStyle w:val="TOC2"/>
            <w:ind w:left="0"/>
          </w:pPr>
          <w:r>
            <w:t xml:space="preserve">    </w:t>
          </w:r>
          <w:r w:rsidR="00DD4EBF">
            <w:t xml:space="preserve">3.1 </w:t>
          </w:r>
          <w:r w:rsidR="00202AF6">
            <w:t>Liquidity Ratio</w:t>
          </w:r>
          <w:r w:rsidR="006342B5">
            <w:ptab w:relativeTo="margin" w:alignment="right" w:leader="dot"/>
          </w:r>
          <w:r w:rsidR="00416EE8">
            <w:t>11</w:t>
          </w:r>
        </w:p>
        <w:p w:rsidR="00202AF6" w:rsidRDefault="00DD4EBF" w:rsidP="00202AF6">
          <w:pPr>
            <w:pStyle w:val="TOC2"/>
            <w:ind w:left="216"/>
          </w:pPr>
          <w:r>
            <w:t xml:space="preserve">3.2 </w:t>
          </w:r>
          <w:r w:rsidR="00202AF6">
            <w:t>Financial Leverage Ratio</w:t>
          </w:r>
          <w:r w:rsidR="00202AF6">
            <w:ptab w:relativeTo="margin" w:alignment="right" w:leader="dot"/>
          </w:r>
          <w:r w:rsidR="00E2185F">
            <w:t>14</w:t>
          </w:r>
        </w:p>
        <w:p w:rsidR="00202AF6" w:rsidRDefault="00DD4EBF" w:rsidP="00202AF6">
          <w:pPr>
            <w:pStyle w:val="TOC2"/>
            <w:ind w:left="216"/>
          </w:pPr>
          <w:r>
            <w:t xml:space="preserve">3.3 </w:t>
          </w:r>
          <w:r w:rsidR="00202AF6">
            <w:t>Turnover or Efficiency Ratio</w:t>
          </w:r>
          <w:r w:rsidR="00202AF6">
            <w:ptab w:relativeTo="margin" w:alignment="right" w:leader="dot"/>
          </w:r>
          <w:r w:rsidR="00E2185F">
            <w:t>17</w:t>
          </w:r>
        </w:p>
        <w:p w:rsidR="00202AF6" w:rsidRDefault="00DD4EBF" w:rsidP="00202AF6">
          <w:pPr>
            <w:pStyle w:val="TOC2"/>
            <w:ind w:left="216"/>
          </w:pPr>
          <w:r>
            <w:t xml:space="preserve">3.4 </w:t>
          </w:r>
          <w:r w:rsidR="00202AF6">
            <w:t>Profitability Ratio</w:t>
          </w:r>
          <w:r w:rsidR="00202AF6">
            <w:ptab w:relativeTo="margin" w:alignment="right" w:leader="dot"/>
          </w:r>
          <w:r w:rsidR="00E2185F">
            <w:t>20</w:t>
          </w:r>
        </w:p>
        <w:p w:rsidR="00202AF6" w:rsidRDefault="00DD4EBF" w:rsidP="00202AF6">
          <w:pPr>
            <w:pStyle w:val="TOC2"/>
            <w:ind w:left="216"/>
          </w:pPr>
          <w:r>
            <w:t xml:space="preserve">3.5 </w:t>
          </w:r>
          <w:r w:rsidR="00202AF6">
            <w:t>Market Ratio</w:t>
          </w:r>
          <w:r w:rsidR="00202AF6">
            <w:ptab w:relativeTo="margin" w:alignment="right" w:leader="dot"/>
          </w:r>
          <w:r w:rsidR="00E2185F">
            <w:t>26</w:t>
          </w:r>
        </w:p>
        <w:p w:rsidR="006342B5" w:rsidRDefault="006342B5" w:rsidP="00202AF6">
          <w:pPr>
            <w:pStyle w:val="TOC3"/>
          </w:pPr>
        </w:p>
        <w:p w:rsidR="0088337B" w:rsidRDefault="00DD4EBF" w:rsidP="0088337B">
          <w:pPr>
            <w:pStyle w:val="TOC1"/>
          </w:pPr>
          <w:r>
            <w:rPr>
              <w:b/>
            </w:rPr>
            <w:t>Chapter 4</w:t>
          </w:r>
          <w:r w:rsidR="00202AF6">
            <w:rPr>
              <w:b/>
            </w:rPr>
            <w:t xml:space="preserve"> </w:t>
          </w:r>
          <w:r w:rsidR="00475533">
            <w:rPr>
              <w:b/>
            </w:rPr>
            <w:t>Three</w:t>
          </w:r>
          <w:r w:rsidR="0088337B">
            <w:rPr>
              <w:b/>
            </w:rPr>
            <w:t xml:space="preserve"> component </w:t>
          </w:r>
          <w:r w:rsidR="00202AF6">
            <w:rPr>
              <w:b/>
            </w:rPr>
            <w:t>DuPont Analysis</w:t>
          </w:r>
          <w:r w:rsidR="006342B5">
            <w:ptab w:relativeTo="margin" w:alignment="right" w:leader="dot"/>
          </w:r>
          <w:r w:rsidR="00E2185F">
            <w:t>29</w:t>
          </w:r>
        </w:p>
      </w:sdtContent>
    </w:sdt>
    <w:p w:rsidR="0088337B" w:rsidRPr="0088337B" w:rsidRDefault="00DD4EBF" w:rsidP="0088337B">
      <w:pPr>
        <w:pStyle w:val="TOC2"/>
        <w:ind w:left="0"/>
      </w:pPr>
      <w:r>
        <w:rPr>
          <w:b/>
        </w:rPr>
        <w:t>Chapter 5</w:t>
      </w:r>
      <w:r w:rsidR="0088337B">
        <w:rPr>
          <w:b/>
        </w:rPr>
        <w:t xml:space="preserve"> </w:t>
      </w:r>
      <w:r w:rsidR="00475533">
        <w:rPr>
          <w:b/>
        </w:rPr>
        <w:t>Five</w:t>
      </w:r>
      <w:r w:rsidR="0088337B">
        <w:rPr>
          <w:b/>
        </w:rPr>
        <w:t xml:space="preserve"> component DuPont Analysis</w:t>
      </w:r>
      <w:r w:rsidR="0088337B">
        <w:ptab w:relativeTo="margin" w:alignment="right" w:leader="dot"/>
      </w:r>
      <w:r w:rsidR="00E2185F">
        <w:t>31</w:t>
      </w:r>
    </w:p>
    <w:p w:rsidR="0088337B" w:rsidRDefault="00DD4EBF" w:rsidP="0088337B">
      <w:pPr>
        <w:pStyle w:val="TOC1"/>
      </w:pPr>
      <w:r>
        <w:rPr>
          <w:b/>
        </w:rPr>
        <w:t>Chapter 6</w:t>
      </w:r>
      <w:r w:rsidR="0088337B">
        <w:rPr>
          <w:b/>
        </w:rPr>
        <w:t xml:space="preserve"> Findings </w:t>
      </w:r>
      <w:r w:rsidR="0088337B">
        <w:ptab w:relativeTo="margin" w:alignment="right" w:leader="dot"/>
      </w:r>
      <w:r w:rsidR="0088337B" w:rsidRPr="0088337B">
        <w:t>3</w:t>
      </w:r>
      <w:r w:rsidR="00E2185F">
        <w:t>3</w:t>
      </w:r>
    </w:p>
    <w:p w:rsidR="00366CA7" w:rsidRPr="00366CA7" w:rsidRDefault="00366CA7" w:rsidP="00E2185F">
      <w:pPr>
        <w:pStyle w:val="TOC1"/>
      </w:pPr>
      <w:r>
        <w:rPr>
          <w:b/>
        </w:rPr>
        <w:t xml:space="preserve">Chapter 7 </w:t>
      </w:r>
      <w:r w:rsidR="006B4E2A">
        <w:rPr>
          <w:b/>
        </w:rPr>
        <w:t>Conclusion</w:t>
      </w:r>
      <w:r>
        <w:rPr>
          <w:b/>
        </w:rPr>
        <w:t xml:space="preserve"> </w:t>
      </w:r>
      <w:r>
        <w:ptab w:relativeTo="margin" w:alignment="right" w:leader="dot"/>
      </w:r>
      <w:r w:rsidR="00E2185F">
        <w:t>33</w:t>
      </w:r>
    </w:p>
    <w:p w:rsidR="0088337B" w:rsidRPr="0088337B" w:rsidRDefault="0088337B" w:rsidP="0088337B"/>
    <w:p w:rsidR="0088337B" w:rsidRDefault="0088337B" w:rsidP="0088337B"/>
    <w:p w:rsidR="00E2185F" w:rsidRPr="0088337B" w:rsidRDefault="00E2185F" w:rsidP="0088337B"/>
    <w:p w:rsidR="006342B5" w:rsidRDefault="006342B5" w:rsidP="00127653">
      <w:pPr>
        <w:rPr>
          <w:b/>
          <w:sz w:val="32"/>
          <w:szCs w:val="32"/>
        </w:rPr>
      </w:pPr>
    </w:p>
    <w:p w:rsidR="001B320D" w:rsidRDefault="006B4E2A" w:rsidP="006B4E2A">
      <w:pPr>
        <w:jc w:val="center"/>
        <w:rPr>
          <w:b/>
          <w:sz w:val="36"/>
          <w:szCs w:val="36"/>
        </w:rPr>
      </w:pPr>
      <w:r>
        <w:rPr>
          <w:b/>
          <w:sz w:val="36"/>
          <w:szCs w:val="36"/>
        </w:rPr>
        <w:lastRenderedPageBreak/>
        <w:t xml:space="preserve">1 </w:t>
      </w:r>
      <w:r w:rsidR="001B320D">
        <w:rPr>
          <w:b/>
          <w:sz w:val="36"/>
          <w:szCs w:val="36"/>
        </w:rPr>
        <w:t>Introduction</w:t>
      </w:r>
    </w:p>
    <w:p w:rsidR="006D564D" w:rsidRDefault="006D564D" w:rsidP="00143DF6">
      <w:pPr>
        <w:jc w:val="center"/>
        <w:rPr>
          <w:sz w:val="24"/>
          <w:szCs w:val="24"/>
        </w:rPr>
      </w:pPr>
    </w:p>
    <w:p w:rsidR="00E2185F" w:rsidRDefault="00E2185F" w:rsidP="00143DF6">
      <w:pPr>
        <w:jc w:val="center"/>
        <w:rPr>
          <w:sz w:val="24"/>
          <w:szCs w:val="24"/>
        </w:rPr>
      </w:pPr>
    </w:p>
    <w:p w:rsidR="001B320D" w:rsidRPr="00503058" w:rsidRDefault="006B4E2A" w:rsidP="001B320D">
      <w:pPr>
        <w:rPr>
          <w:b/>
          <w:sz w:val="28"/>
          <w:szCs w:val="28"/>
        </w:rPr>
      </w:pPr>
      <w:r>
        <w:rPr>
          <w:b/>
          <w:sz w:val="28"/>
          <w:szCs w:val="28"/>
        </w:rPr>
        <w:t xml:space="preserve">1.1 </w:t>
      </w:r>
      <w:r w:rsidR="004A0651">
        <w:rPr>
          <w:b/>
          <w:sz w:val="28"/>
          <w:szCs w:val="28"/>
        </w:rPr>
        <w:t>Background</w:t>
      </w:r>
      <w:r w:rsidR="001B320D" w:rsidRPr="00503058">
        <w:rPr>
          <w:b/>
          <w:sz w:val="28"/>
          <w:szCs w:val="28"/>
        </w:rPr>
        <w:t xml:space="preserve"> of the report</w:t>
      </w:r>
    </w:p>
    <w:p w:rsidR="001B320D" w:rsidRDefault="001B320D" w:rsidP="00E2185F">
      <w:pPr>
        <w:jc w:val="both"/>
        <w:rPr>
          <w:sz w:val="24"/>
          <w:szCs w:val="24"/>
        </w:rPr>
      </w:pPr>
      <w:r>
        <w:rPr>
          <w:sz w:val="24"/>
          <w:szCs w:val="24"/>
        </w:rPr>
        <w:t>Finance is responsible for the growing importance for the current banking and financial marketing. With its importance we make sure that there are enough funds and investments and spending are done wisely. A company can develop skills and tactics for using the funds to gain additional capital will improve company’s profi</w:t>
      </w:r>
      <w:r w:rsidR="00934628">
        <w:rPr>
          <w:sz w:val="24"/>
          <w:szCs w:val="24"/>
        </w:rPr>
        <w:t>tability and will grow possibilities</w:t>
      </w:r>
      <w:r>
        <w:rPr>
          <w:sz w:val="24"/>
          <w:szCs w:val="24"/>
        </w:rPr>
        <w:t xml:space="preserve"> for leveraging new opportunities A Bank is a financial institution which is </w:t>
      </w:r>
      <w:r w:rsidR="0098385E">
        <w:rPr>
          <w:sz w:val="24"/>
          <w:szCs w:val="24"/>
        </w:rPr>
        <w:t>mainly involved in borrowing and lending money. The banking sector is an importance source of financing for business. Banking sector is growing its services in different financial events every day. In order to survive in this competitive market Banks are looking for better opportunities to provide their clients.</w:t>
      </w:r>
    </w:p>
    <w:p w:rsidR="0098385E" w:rsidRDefault="0098385E" w:rsidP="00E2185F">
      <w:pPr>
        <w:jc w:val="both"/>
        <w:rPr>
          <w:sz w:val="24"/>
          <w:szCs w:val="24"/>
        </w:rPr>
      </w:pPr>
      <w:r>
        <w:rPr>
          <w:sz w:val="24"/>
          <w:szCs w:val="24"/>
        </w:rPr>
        <w:t>I started my internship p</w:t>
      </w:r>
      <w:r w:rsidR="006D564D">
        <w:rPr>
          <w:sz w:val="24"/>
          <w:szCs w:val="24"/>
        </w:rPr>
        <w:t xml:space="preserve">rogram at </w:t>
      </w:r>
      <w:proofErr w:type="spellStart"/>
      <w:r w:rsidR="006D564D">
        <w:rPr>
          <w:sz w:val="24"/>
          <w:szCs w:val="24"/>
        </w:rPr>
        <w:t>Satmasjid</w:t>
      </w:r>
      <w:proofErr w:type="spellEnd"/>
      <w:r w:rsidR="006D564D">
        <w:rPr>
          <w:sz w:val="24"/>
          <w:szCs w:val="24"/>
        </w:rPr>
        <w:t xml:space="preserve"> Road Branch. Internship program </w:t>
      </w:r>
      <w:r>
        <w:rPr>
          <w:sz w:val="24"/>
          <w:szCs w:val="24"/>
        </w:rPr>
        <w:t xml:space="preserve">is mandatory for </w:t>
      </w:r>
      <w:r w:rsidR="00FE420B">
        <w:rPr>
          <w:sz w:val="24"/>
          <w:szCs w:val="24"/>
        </w:rPr>
        <w:t>the completion of my BBA</w:t>
      </w:r>
      <w:r>
        <w:rPr>
          <w:sz w:val="24"/>
          <w:szCs w:val="24"/>
        </w:rPr>
        <w:t>. It was a three months course from January 5, 2020. During the internship period I got the chance to experience corporate environment</w:t>
      </w:r>
      <w:r w:rsidR="004E6F4A">
        <w:rPr>
          <w:sz w:val="24"/>
          <w:szCs w:val="24"/>
        </w:rPr>
        <w:t xml:space="preserve"> and gathered information about current situation of </w:t>
      </w:r>
      <w:proofErr w:type="gramStart"/>
      <w:r w:rsidR="004E6F4A">
        <w:rPr>
          <w:sz w:val="24"/>
          <w:szCs w:val="24"/>
        </w:rPr>
        <w:t>Banking</w:t>
      </w:r>
      <w:proofErr w:type="gramEnd"/>
      <w:r w:rsidR="004E6F4A">
        <w:rPr>
          <w:sz w:val="24"/>
          <w:szCs w:val="24"/>
        </w:rPr>
        <w:t xml:space="preserve"> sector.</w:t>
      </w:r>
      <w:r>
        <w:rPr>
          <w:sz w:val="24"/>
          <w:szCs w:val="24"/>
        </w:rPr>
        <w:t xml:space="preserve"> As an intern I was </w:t>
      </w:r>
      <w:r w:rsidR="00FD669C">
        <w:rPr>
          <w:sz w:val="24"/>
          <w:szCs w:val="24"/>
        </w:rPr>
        <w:t>authorized to make report on Financial Performance of Prime Bank ltd. I tried my level best to meet the requirements and produce a quality report.</w:t>
      </w:r>
      <w:r>
        <w:rPr>
          <w:sz w:val="24"/>
          <w:szCs w:val="24"/>
        </w:rPr>
        <w:t xml:space="preserve"> </w:t>
      </w:r>
    </w:p>
    <w:p w:rsidR="00503058" w:rsidRDefault="00503058" w:rsidP="001B320D">
      <w:pPr>
        <w:rPr>
          <w:sz w:val="24"/>
          <w:szCs w:val="24"/>
        </w:rPr>
      </w:pPr>
    </w:p>
    <w:p w:rsidR="00503058" w:rsidRPr="00503058" w:rsidRDefault="006B4E2A" w:rsidP="001B320D">
      <w:pPr>
        <w:rPr>
          <w:b/>
          <w:sz w:val="28"/>
          <w:szCs w:val="28"/>
        </w:rPr>
      </w:pPr>
      <w:r>
        <w:rPr>
          <w:b/>
          <w:sz w:val="28"/>
          <w:szCs w:val="28"/>
        </w:rPr>
        <w:t xml:space="preserve">1.2 </w:t>
      </w:r>
      <w:r w:rsidR="00503058" w:rsidRPr="00503058">
        <w:rPr>
          <w:b/>
          <w:sz w:val="28"/>
          <w:szCs w:val="28"/>
        </w:rPr>
        <w:t>Objective of the report</w:t>
      </w:r>
    </w:p>
    <w:p w:rsidR="004E6F4A" w:rsidRDefault="004E6F4A" w:rsidP="001B320D">
      <w:pPr>
        <w:pStyle w:val="ListParagraph"/>
        <w:numPr>
          <w:ilvl w:val="0"/>
          <w:numId w:val="6"/>
        </w:numPr>
        <w:rPr>
          <w:sz w:val="24"/>
          <w:szCs w:val="24"/>
        </w:rPr>
      </w:pPr>
      <w:r w:rsidRPr="004E6F4A">
        <w:rPr>
          <w:sz w:val="24"/>
          <w:szCs w:val="24"/>
        </w:rPr>
        <w:t>Main objective of the report is t</w:t>
      </w:r>
      <w:r w:rsidR="00503058" w:rsidRPr="004E6F4A">
        <w:rPr>
          <w:sz w:val="24"/>
          <w:szCs w:val="24"/>
        </w:rPr>
        <w:t>o analyze the Financial Performance of Prime Bank limited in five years period.</w:t>
      </w:r>
      <w:r>
        <w:rPr>
          <w:sz w:val="24"/>
          <w:szCs w:val="24"/>
        </w:rPr>
        <w:t xml:space="preserve"> </w:t>
      </w:r>
    </w:p>
    <w:p w:rsidR="002825CC" w:rsidRDefault="002825CC" w:rsidP="001B320D">
      <w:pPr>
        <w:pStyle w:val="ListParagraph"/>
        <w:numPr>
          <w:ilvl w:val="0"/>
          <w:numId w:val="6"/>
        </w:numPr>
        <w:rPr>
          <w:sz w:val="24"/>
          <w:szCs w:val="24"/>
        </w:rPr>
      </w:pPr>
      <w:r>
        <w:rPr>
          <w:sz w:val="24"/>
          <w:szCs w:val="24"/>
        </w:rPr>
        <w:t>Gathering information of current situation about Prime Bank Limited</w:t>
      </w:r>
    </w:p>
    <w:p w:rsidR="002825CC" w:rsidRPr="002825CC" w:rsidRDefault="002825CC" w:rsidP="002825CC">
      <w:pPr>
        <w:ind w:left="360"/>
        <w:rPr>
          <w:sz w:val="24"/>
          <w:szCs w:val="24"/>
        </w:rPr>
      </w:pPr>
    </w:p>
    <w:p w:rsidR="00503058" w:rsidRPr="004E6F4A" w:rsidRDefault="00503058" w:rsidP="004E6F4A">
      <w:pPr>
        <w:ind w:left="360"/>
        <w:rPr>
          <w:sz w:val="24"/>
          <w:szCs w:val="24"/>
        </w:rPr>
      </w:pPr>
    </w:p>
    <w:p w:rsidR="00503058" w:rsidRDefault="00503058" w:rsidP="001B320D">
      <w:pPr>
        <w:rPr>
          <w:sz w:val="24"/>
          <w:szCs w:val="24"/>
        </w:rPr>
      </w:pPr>
    </w:p>
    <w:p w:rsidR="004E6F4A" w:rsidRDefault="004E6F4A" w:rsidP="001B320D">
      <w:pPr>
        <w:rPr>
          <w:sz w:val="24"/>
          <w:szCs w:val="24"/>
        </w:rPr>
      </w:pPr>
    </w:p>
    <w:p w:rsidR="004E6F4A" w:rsidRDefault="004E6F4A" w:rsidP="001B320D">
      <w:pPr>
        <w:rPr>
          <w:sz w:val="24"/>
          <w:szCs w:val="24"/>
        </w:rPr>
      </w:pPr>
    </w:p>
    <w:p w:rsidR="004E6F4A" w:rsidRDefault="004E6F4A" w:rsidP="001B320D">
      <w:pPr>
        <w:rPr>
          <w:sz w:val="24"/>
          <w:szCs w:val="24"/>
        </w:rPr>
      </w:pPr>
    </w:p>
    <w:p w:rsidR="004E6F4A" w:rsidRPr="00D2173A" w:rsidRDefault="006B4E2A" w:rsidP="001B320D">
      <w:pPr>
        <w:rPr>
          <w:b/>
          <w:sz w:val="28"/>
          <w:szCs w:val="28"/>
        </w:rPr>
      </w:pPr>
      <w:r>
        <w:rPr>
          <w:b/>
          <w:sz w:val="28"/>
          <w:szCs w:val="28"/>
        </w:rPr>
        <w:lastRenderedPageBreak/>
        <w:t xml:space="preserve">1.3 </w:t>
      </w:r>
      <w:r w:rsidR="004E6F4A" w:rsidRPr="00D2173A">
        <w:rPr>
          <w:b/>
          <w:sz w:val="28"/>
          <w:szCs w:val="28"/>
        </w:rPr>
        <w:t>Methodology</w:t>
      </w:r>
    </w:p>
    <w:p w:rsidR="00D2173A" w:rsidRDefault="00C10DD0" w:rsidP="001B320D">
      <w:pPr>
        <w:rPr>
          <w:sz w:val="24"/>
          <w:szCs w:val="24"/>
        </w:rPr>
      </w:pPr>
      <w:r>
        <w:rPr>
          <w:sz w:val="24"/>
          <w:szCs w:val="24"/>
        </w:rPr>
        <w:t>Two sources of data collection have been used here.</w:t>
      </w:r>
      <w:r w:rsidR="00D2173A">
        <w:rPr>
          <w:sz w:val="24"/>
          <w:szCs w:val="24"/>
        </w:rPr>
        <w:t xml:space="preserve"> They are primary and secondary sources. </w:t>
      </w:r>
    </w:p>
    <w:p w:rsidR="00D2173A" w:rsidRDefault="00D2173A" w:rsidP="001B320D">
      <w:pPr>
        <w:rPr>
          <w:sz w:val="24"/>
          <w:szCs w:val="24"/>
        </w:rPr>
      </w:pPr>
      <w:r>
        <w:rPr>
          <w:sz w:val="24"/>
          <w:szCs w:val="24"/>
        </w:rPr>
        <w:t>In order to complete this report t</w:t>
      </w:r>
      <w:r w:rsidR="004E6F4A">
        <w:rPr>
          <w:sz w:val="24"/>
          <w:szCs w:val="24"/>
        </w:rPr>
        <w:t>he methodology is focused on the observation containing proper data collection.</w:t>
      </w:r>
      <w:r>
        <w:rPr>
          <w:sz w:val="24"/>
          <w:szCs w:val="24"/>
        </w:rPr>
        <w:t xml:space="preserve"> Majority of the report is done on the annual reports available on the internet as well as practical observation. So we can say main source of the report is secondary source of collection. This is a fact finding report which analyses the financial performance of Prime Bank limited.</w:t>
      </w:r>
    </w:p>
    <w:p w:rsidR="007758D0" w:rsidRDefault="007758D0" w:rsidP="001B320D">
      <w:pPr>
        <w:rPr>
          <w:sz w:val="24"/>
          <w:szCs w:val="24"/>
        </w:rPr>
      </w:pPr>
    </w:p>
    <w:p w:rsidR="007758D0" w:rsidRPr="007758D0" w:rsidRDefault="007758D0" w:rsidP="001B320D">
      <w:pPr>
        <w:rPr>
          <w:b/>
          <w:sz w:val="28"/>
          <w:szCs w:val="28"/>
        </w:rPr>
      </w:pPr>
      <w:r w:rsidRPr="007758D0">
        <w:rPr>
          <w:b/>
          <w:sz w:val="28"/>
          <w:szCs w:val="28"/>
        </w:rPr>
        <w:t>1.4 Scope of the report</w:t>
      </w:r>
    </w:p>
    <w:p w:rsidR="007758D0" w:rsidRDefault="007758D0" w:rsidP="001B320D">
      <w:pPr>
        <w:rPr>
          <w:sz w:val="24"/>
          <w:szCs w:val="24"/>
        </w:rPr>
      </w:pPr>
      <w:r>
        <w:rPr>
          <w:sz w:val="24"/>
          <w:szCs w:val="24"/>
        </w:rPr>
        <w:t xml:space="preserve">The field of my study covers the financial performance of Prime Bank ltd by analyzing various ratios and how it is performing over the years. </w:t>
      </w:r>
    </w:p>
    <w:p w:rsidR="00D2173A" w:rsidRDefault="00D2173A" w:rsidP="001B320D">
      <w:pPr>
        <w:rPr>
          <w:sz w:val="24"/>
          <w:szCs w:val="24"/>
        </w:rPr>
      </w:pPr>
    </w:p>
    <w:p w:rsidR="00D2173A" w:rsidRPr="006D564D" w:rsidRDefault="007758D0" w:rsidP="001B320D">
      <w:pPr>
        <w:rPr>
          <w:b/>
          <w:sz w:val="28"/>
          <w:szCs w:val="28"/>
        </w:rPr>
      </w:pPr>
      <w:r>
        <w:rPr>
          <w:b/>
          <w:sz w:val="28"/>
          <w:szCs w:val="28"/>
        </w:rPr>
        <w:t>1.5</w:t>
      </w:r>
      <w:r w:rsidR="006B4E2A">
        <w:rPr>
          <w:b/>
          <w:sz w:val="28"/>
          <w:szCs w:val="28"/>
        </w:rPr>
        <w:t xml:space="preserve"> </w:t>
      </w:r>
      <w:r w:rsidR="00D2173A" w:rsidRPr="006D564D">
        <w:rPr>
          <w:b/>
          <w:sz w:val="28"/>
          <w:szCs w:val="28"/>
        </w:rPr>
        <w:t>Limitations of the report</w:t>
      </w:r>
    </w:p>
    <w:p w:rsidR="00D2173A" w:rsidRDefault="00D2173A" w:rsidP="001B320D">
      <w:pPr>
        <w:rPr>
          <w:sz w:val="24"/>
          <w:szCs w:val="24"/>
        </w:rPr>
      </w:pPr>
      <w:r>
        <w:rPr>
          <w:sz w:val="24"/>
          <w:szCs w:val="24"/>
        </w:rPr>
        <w:t>Banking is very large and complex area.</w:t>
      </w:r>
      <w:r w:rsidR="006D564D">
        <w:rPr>
          <w:sz w:val="24"/>
          <w:szCs w:val="24"/>
        </w:rPr>
        <w:t xml:space="preserve"> </w:t>
      </w:r>
      <w:r w:rsidR="00BA2ACB">
        <w:rPr>
          <w:sz w:val="24"/>
          <w:szCs w:val="24"/>
        </w:rPr>
        <w:t>S</w:t>
      </w:r>
      <w:r w:rsidR="007758D0">
        <w:rPr>
          <w:sz w:val="24"/>
          <w:szCs w:val="24"/>
        </w:rPr>
        <w:t>cope is</w:t>
      </w:r>
      <w:r w:rsidR="006D564D">
        <w:rPr>
          <w:sz w:val="24"/>
          <w:szCs w:val="24"/>
        </w:rPr>
        <w:t xml:space="preserve"> limited</w:t>
      </w:r>
      <w:r w:rsidR="00BA2ACB">
        <w:rPr>
          <w:sz w:val="24"/>
          <w:szCs w:val="24"/>
        </w:rPr>
        <w:t xml:space="preserve"> to financial performance analysis </w:t>
      </w:r>
      <w:r w:rsidR="006D564D">
        <w:rPr>
          <w:sz w:val="24"/>
          <w:szCs w:val="24"/>
        </w:rPr>
        <w:t>more of its limitations are given below</w:t>
      </w:r>
    </w:p>
    <w:p w:rsidR="006D564D" w:rsidRDefault="006D564D" w:rsidP="006D564D">
      <w:pPr>
        <w:pStyle w:val="ListParagraph"/>
        <w:numPr>
          <w:ilvl w:val="0"/>
          <w:numId w:val="6"/>
        </w:numPr>
        <w:rPr>
          <w:sz w:val="24"/>
          <w:szCs w:val="24"/>
        </w:rPr>
      </w:pPr>
      <w:r>
        <w:rPr>
          <w:sz w:val="24"/>
          <w:szCs w:val="24"/>
        </w:rPr>
        <w:t>Financial Reports provide number and their break down but may not always provide justification in most of the time.</w:t>
      </w:r>
    </w:p>
    <w:p w:rsidR="006D564D" w:rsidRDefault="006D564D" w:rsidP="006D564D">
      <w:pPr>
        <w:pStyle w:val="ListParagraph"/>
        <w:numPr>
          <w:ilvl w:val="0"/>
          <w:numId w:val="6"/>
        </w:numPr>
        <w:rPr>
          <w:sz w:val="24"/>
          <w:szCs w:val="24"/>
        </w:rPr>
      </w:pPr>
      <w:r>
        <w:rPr>
          <w:sz w:val="24"/>
          <w:szCs w:val="24"/>
        </w:rPr>
        <w:t>Interviewing on the officials was very difficult and was not constructive due generalized answers</w:t>
      </w:r>
    </w:p>
    <w:p w:rsidR="006D564D" w:rsidRDefault="006D564D" w:rsidP="006D564D">
      <w:pPr>
        <w:pStyle w:val="ListParagraph"/>
        <w:numPr>
          <w:ilvl w:val="0"/>
          <w:numId w:val="6"/>
        </w:numPr>
        <w:rPr>
          <w:sz w:val="24"/>
          <w:szCs w:val="24"/>
        </w:rPr>
      </w:pPr>
      <w:r>
        <w:rPr>
          <w:sz w:val="24"/>
          <w:szCs w:val="24"/>
        </w:rPr>
        <w:t xml:space="preserve">Data and information that are very recent are not available which is a hard to represent actual and up to date position of Prime Bank limited  </w:t>
      </w:r>
    </w:p>
    <w:p w:rsidR="006D564D" w:rsidRPr="006D564D" w:rsidRDefault="006D564D" w:rsidP="006D564D">
      <w:pPr>
        <w:pStyle w:val="ListParagraph"/>
        <w:rPr>
          <w:sz w:val="24"/>
          <w:szCs w:val="24"/>
        </w:rPr>
      </w:pPr>
    </w:p>
    <w:p w:rsidR="001B320D" w:rsidRDefault="001B320D">
      <w:pPr>
        <w:rPr>
          <w:b/>
          <w:sz w:val="36"/>
          <w:szCs w:val="36"/>
        </w:rPr>
      </w:pPr>
      <w:r>
        <w:rPr>
          <w:b/>
          <w:sz w:val="36"/>
          <w:szCs w:val="36"/>
        </w:rPr>
        <w:br w:type="page"/>
      </w:r>
    </w:p>
    <w:p w:rsidR="004A144B" w:rsidRDefault="004A144B" w:rsidP="00143DF6">
      <w:pPr>
        <w:jc w:val="center"/>
        <w:rPr>
          <w:b/>
          <w:sz w:val="36"/>
          <w:szCs w:val="36"/>
        </w:rPr>
      </w:pPr>
    </w:p>
    <w:p w:rsidR="00143DF6" w:rsidRPr="00A27D10" w:rsidRDefault="006B4E2A" w:rsidP="00143DF6">
      <w:pPr>
        <w:jc w:val="center"/>
        <w:rPr>
          <w:b/>
          <w:sz w:val="36"/>
          <w:szCs w:val="36"/>
        </w:rPr>
      </w:pPr>
      <w:r>
        <w:rPr>
          <w:b/>
          <w:sz w:val="36"/>
          <w:szCs w:val="36"/>
        </w:rPr>
        <w:t>2</w:t>
      </w:r>
      <w:r w:rsidR="00625224">
        <w:rPr>
          <w:b/>
          <w:sz w:val="36"/>
          <w:szCs w:val="36"/>
        </w:rPr>
        <w:t>.</w:t>
      </w:r>
      <w:r w:rsidR="00EC2139">
        <w:rPr>
          <w:b/>
          <w:sz w:val="36"/>
          <w:szCs w:val="36"/>
        </w:rPr>
        <w:t xml:space="preserve"> </w:t>
      </w:r>
      <w:r w:rsidR="00143DF6" w:rsidRPr="00A27D10">
        <w:rPr>
          <w:b/>
          <w:sz w:val="36"/>
          <w:szCs w:val="36"/>
        </w:rPr>
        <w:t>Overview of Prime Bank ltd</w:t>
      </w:r>
    </w:p>
    <w:p w:rsidR="00143DF6" w:rsidRPr="0036384C" w:rsidRDefault="006B4E2A" w:rsidP="00143DF6">
      <w:pPr>
        <w:rPr>
          <w:b/>
          <w:sz w:val="28"/>
          <w:szCs w:val="28"/>
        </w:rPr>
      </w:pPr>
      <w:r>
        <w:rPr>
          <w:b/>
          <w:sz w:val="28"/>
          <w:szCs w:val="28"/>
        </w:rPr>
        <w:t>2</w:t>
      </w:r>
      <w:r w:rsidR="00625224">
        <w:rPr>
          <w:b/>
          <w:sz w:val="28"/>
          <w:szCs w:val="28"/>
        </w:rPr>
        <w:t xml:space="preserve">.1 </w:t>
      </w:r>
      <w:r w:rsidR="00143DF6" w:rsidRPr="0036384C">
        <w:rPr>
          <w:b/>
          <w:sz w:val="28"/>
          <w:szCs w:val="28"/>
        </w:rPr>
        <w:t>About Prime Bank</w:t>
      </w:r>
    </w:p>
    <w:p w:rsidR="00C436F9" w:rsidRDefault="00143DF6" w:rsidP="00E2185F">
      <w:pPr>
        <w:jc w:val="both"/>
        <w:rPr>
          <w:sz w:val="24"/>
          <w:szCs w:val="24"/>
        </w:rPr>
      </w:pPr>
      <w:r w:rsidRPr="0036384C">
        <w:rPr>
          <w:sz w:val="24"/>
          <w:szCs w:val="24"/>
        </w:rPr>
        <w:t>A group of successful local entrepreneurs decided to establish commercial bank with different outlook in the backdrop of economic liberalization. For them it was consistency, competence and excellence delivery of reliable service with higher value products. Prime Bank was established and commencement of business started on 17</w:t>
      </w:r>
      <w:r w:rsidRPr="0036384C">
        <w:rPr>
          <w:sz w:val="24"/>
          <w:szCs w:val="24"/>
          <w:vertAlign w:val="superscript"/>
        </w:rPr>
        <w:t>th</w:t>
      </w:r>
      <w:r w:rsidRPr="0036384C">
        <w:rPr>
          <w:sz w:val="24"/>
          <w:szCs w:val="24"/>
        </w:rPr>
        <w:t xml:space="preserve"> April 1995. Prime Bank is </w:t>
      </w:r>
      <w:r w:rsidR="0036384C" w:rsidRPr="0036384C">
        <w:rPr>
          <w:sz w:val="24"/>
          <w:szCs w:val="24"/>
        </w:rPr>
        <w:t>continuing</w:t>
      </w:r>
      <w:r w:rsidRPr="0036384C">
        <w:rPr>
          <w:sz w:val="24"/>
          <w:szCs w:val="24"/>
        </w:rPr>
        <w:t xml:space="preserve"> its service with hi</w:t>
      </w:r>
      <w:r w:rsidR="0036384C" w:rsidRPr="0036384C">
        <w:rPr>
          <w:sz w:val="24"/>
          <w:szCs w:val="24"/>
        </w:rPr>
        <w:t>ghly professional and dedicated team that has long experience in banking industry.</w:t>
      </w:r>
      <w:r w:rsidR="00C436F9">
        <w:rPr>
          <w:sz w:val="24"/>
          <w:szCs w:val="24"/>
        </w:rPr>
        <w:t xml:space="preserve"> </w:t>
      </w:r>
    </w:p>
    <w:p w:rsidR="00F9663B" w:rsidRPr="00574015" w:rsidRDefault="00C436F9" w:rsidP="00E2185F">
      <w:pPr>
        <w:jc w:val="both"/>
        <w:rPr>
          <w:sz w:val="24"/>
          <w:szCs w:val="24"/>
        </w:rPr>
      </w:pPr>
      <w:r>
        <w:rPr>
          <w:sz w:val="24"/>
          <w:szCs w:val="24"/>
        </w:rPr>
        <w:t>Prime Bank offers all kinds of commercial corporate and personal banking services covering all segments.</w:t>
      </w:r>
      <w:r w:rsidR="0036384C" w:rsidRPr="0036384C">
        <w:rPr>
          <w:sz w:val="24"/>
          <w:szCs w:val="24"/>
        </w:rPr>
        <w:t xml:space="preserve"> Prime Bank always looks on customer satisfaction and their needs. Prime Bank has been successful within a very short period of its existence. Prime Bank has taken a desirable position between its competitors after achieving success in all areas of business operations. Prime Bank since its establishment has focused more importance in technology integration in order to maintain a competitive edge. Their past performance gives a better view of their strength. </w:t>
      </w:r>
      <w:r w:rsidR="0036384C">
        <w:rPr>
          <w:sz w:val="24"/>
          <w:szCs w:val="24"/>
        </w:rPr>
        <w:t>PBL is better placed to take their customers through fast changing times and opens the route to compete more effectively in the market they operate.</w:t>
      </w:r>
    </w:p>
    <w:p w:rsidR="00F9663B" w:rsidRDefault="006B4E2A">
      <w:pPr>
        <w:rPr>
          <w:b/>
          <w:sz w:val="32"/>
          <w:szCs w:val="32"/>
        </w:rPr>
      </w:pPr>
      <w:r>
        <w:rPr>
          <w:b/>
          <w:sz w:val="32"/>
          <w:szCs w:val="32"/>
        </w:rPr>
        <w:t>2</w:t>
      </w:r>
      <w:r w:rsidR="00E2185F">
        <w:rPr>
          <w:b/>
          <w:sz w:val="32"/>
          <w:szCs w:val="32"/>
        </w:rPr>
        <w:t>.2</w:t>
      </w:r>
      <w:r w:rsidR="00625224">
        <w:rPr>
          <w:b/>
          <w:sz w:val="32"/>
          <w:szCs w:val="32"/>
        </w:rPr>
        <w:t xml:space="preserve"> </w:t>
      </w:r>
      <w:r w:rsidR="00F9663B">
        <w:rPr>
          <w:b/>
          <w:sz w:val="32"/>
          <w:szCs w:val="32"/>
        </w:rPr>
        <w:t>Subsidiaries</w:t>
      </w:r>
    </w:p>
    <w:p w:rsidR="00F9663B" w:rsidRDefault="00F9663B" w:rsidP="00F9663B">
      <w:pPr>
        <w:pStyle w:val="ListParagraph"/>
        <w:numPr>
          <w:ilvl w:val="0"/>
          <w:numId w:val="1"/>
        </w:numPr>
        <w:rPr>
          <w:sz w:val="24"/>
          <w:szCs w:val="24"/>
        </w:rPr>
      </w:pPr>
      <w:r w:rsidRPr="00F9663B">
        <w:rPr>
          <w:sz w:val="24"/>
          <w:szCs w:val="24"/>
        </w:rPr>
        <w:t>Prime Bank Investment Ltd</w:t>
      </w:r>
    </w:p>
    <w:p w:rsidR="00F9663B" w:rsidRDefault="00F9663B" w:rsidP="00F9663B">
      <w:pPr>
        <w:pStyle w:val="ListParagraph"/>
        <w:numPr>
          <w:ilvl w:val="0"/>
          <w:numId w:val="1"/>
        </w:numPr>
        <w:rPr>
          <w:sz w:val="24"/>
          <w:szCs w:val="24"/>
        </w:rPr>
      </w:pPr>
      <w:r>
        <w:rPr>
          <w:sz w:val="24"/>
          <w:szCs w:val="24"/>
        </w:rPr>
        <w:t xml:space="preserve">Prime Exchange Co </w:t>
      </w:r>
      <w:proofErr w:type="spellStart"/>
      <w:r>
        <w:rPr>
          <w:sz w:val="24"/>
          <w:szCs w:val="24"/>
        </w:rPr>
        <w:t>pte</w:t>
      </w:r>
      <w:proofErr w:type="spellEnd"/>
      <w:r>
        <w:rPr>
          <w:sz w:val="24"/>
          <w:szCs w:val="24"/>
        </w:rPr>
        <w:t xml:space="preserve"> ltd Singapore</w:t>
      </w:r>
    </w:p>
    <w:p w:rsidR="00F9663B" w:rsidRDefault="00F9663B" w:rsidP="00F9663B">
      <w:pPr>
        <w:pStyle w:val="ListParagraph"/>
        <w:numPr>
          <w:ilvl w:val="0"/>
          <w:numId w:val="1"/>
        </w:numPr>
        <w:rPr>
          <w:sz w:val="24"/>
          <w:szCs w:val="24"/>
        </w:rPr>
      </w:pPr>
      <w:r>
        <w:rPr>
          <w:sz w:val="24"/>
          <w:szCs w:val="24"/>
        </w:rPr>
        <w:t>PBL Exchange UK ltd</w:t>
      </w:r>
    </w:p>
    <w:p w:rsidR="00F9663B" w:rsidRDefault="00F9663B" w:rsidP="00F9663B">
      <w:pPr>
        <w:pStyle w:val="ListParagraph"/>
        <w:numPr>
          <w:ilvl w:val="0"/>
          <w:numId w:val="1"/>
        </w:numPr>
        <w:rPr>
          <w:sz w:val="24"/>
          <w:szCs w:val="24"/>
        </w:rPr>
      </w:pPr>
      <w:r>
        <w:rPr>
          <w:sz w:val="24"/>
          <w:szCs w:val="24"/>
        </w:rPr>
        <w:t>PBL Finance Hong Kong ltd</w:t>
      </w:r>
    </w:p>
    <w:p w:rsidR="00F9663B" w:rsidRDefault="00F9663B" w:rsidP="00F9663B">
      <w:pPr>
        <w:pStyle w:val="ListParagraph"/>
        <w:numPr>
          <w:ilvl w:val="0"/>
          <w:numId w:val="1"/>
        </w:numPr>
        <w:rPr>
          <w:sz w:val="24"/>
          <w:szCs w:val="24"/>
        </w:rPr>
      </w:pPr>
      <w:r>
        <w:rPr>
          <w:sz w:val="24"/>
          <w:szCs w:val="24"/>
        </w:rPr>
        <w:t>Prime Bank Foundation</w:t>
      </w:r>
    </w:p>
    <w:p w:rsidR="00F9663B" w:rsidRPr="00574015" w:rsidRDefault="00F9663B" w:rsidP="00F9663B">
      <w:pPr>
        <w:pStyle w:val="ListParagraph"/>
        <w:numPr>
          <w:ilvl w:val="0"/>
          <w:numId w:val="1"/>
        </w:numPr>
        <w:rPr>
          <w:sz w:val="24"/>
          <w:szCs w:val="24"/>
        </w:rPr>
      </w:pPr>
      <w:r w:rsidRPr="00F9663B">
        <w:rPr>
          <w:sz w:val="24"/>
          <w:szCs w:val="24"/>
        </w:rPr>
        <w:t>Prime Bank Securities ltd</w:t>
      </w:r>
    </w:p>
    <w:p w:rsidR="00F9663B" w:rsidRDefault="006B4E2A" w:rsidP="00F9663B">
      <w:pPr>
        <w:rPr>
          <w:sz w:val="24"/>
          <w:szCs w:val="24"/>
        </w:rPr>
      </w:pPr>
      <w:r>
        <w:rPr>
          <w:b/>
          <w:sz w:val="32"/>
          <w:szCs w:val="32"/>
        </w:rPr>
        <w:t>2</w:t>
      </w:r>
      <w:r w:rsidR="00E2185F">
        <w:rPr>
          <w:b/>
          <w:sz w:val="32"/>
          <w:szCs w:val="32"/>
        </w:rPr>
        <w:t>.3</w:t>
      </w:r>
      <w:r w:rsidR="00625224">
        <w:rPr>
          <w:b/>
          <w:sz w:val="32"/>
          <w:szCs w:val="32"/>
        </w:rPr>
        <w:t xml:space="preserve"> </w:t>
      </w:r>
      <w:r w:rsidR="00F9663B" w:rsidRPr="00A27D10">
        <w:rPr>
          <w:b/>
          <w:sz w:val="32"/>
          <w:szCs w:val="32"/>
        </w:rPr>
        <w:t>Service</w:t>
      </w:r>
      <w:r w:rsidR="00A27D10">
        <w:rPr>
          <w:b/>
          <w:sz w:val="32"/>
          <w:szCs w:val="32"/>
        </w:rPr>
        <w:t>s</w:t>
      </w:r>
      <w:r w:rsidR="00F9663B">
        <w:rPr>
          <w:sz w:val="24"/>
          <w:szCs w:val="24"/>
        </w:rPr>
        <w:t xml:space="preserve">: </w:t>
      </w:r>
    </w:p>
    <w:p w:rsidR="00F9663B" w:rsidRDefault="00F9663B" w:rsidP="00F9663B">
      <w:pPr>
        <w:pStyle w:val="ListParagraph"/>
        <w:numPr>
          <w:ilvl w:val="0"/>
          <w:numId w:val="2"/>
        </w:numPr>
        <w:rPr>
          <w:sz w:val="24"/>
          <w:szCs w:val="24"/>
        </w:rPr>
      </w:pPr>
      <w:r>
        <w:rPr>
          <w:sz w:val="24"/>
          <w:szCs w:val="24"/>
        </w:rPr>
        <w:t>Consumer Banking</w:t>
      </w:r>
    </w:p>
    <w:p w:rsidR="00F9663B" w:rsidRDefault="00F9663B" w:rsidP="00F9663B">
      <w:pPr>
        <w:pStyle w:val="ListParagraph"/>
        <w:numPr>
          <w:ilvl w:val="0"/>
          <w:numId w:val="2"/>
        </w:numPr>
        <w:rPr>
          <w:sz w:val="24"/>
          <w:szCs w:val="24"/>
        </w:rPr>
      </w:pPr>
      <w:r>
        <w:rPr>
          <w:sz w:val="24"/>
          <w:szCs w:val="24"/>
        </w:rPr>
        <w:t>Islamic Banking</w:t>
      </w:r>
    </w:p>
    <w:p w:rsidR="00F9663B" w:rsidRDefault="00F9663B" w:rsidP="00F9663B">
      <w:pPr>
        <w:pStyle w:val="ListParagraph"/>
        <w:numPr>
          <w:ilvl w:val="0"/>
          <w:numId w:val="2"/>
        </w:numPr>
        <w:rPr>
          <w:sz w:val="24"/>
          <w:szCs w:val="24"/>
        </w:rPr>
      </w:pPr>
      <w:r>
        <w:rPr>
          <w:sz w:val="24"/>
          <w:szCs w:val="24"/>
        </w:rPr>
        <w:t>Wholesale Banking</w:t>
      </w:r>
    </w:p>
    <w:p w:rsidR="00F9663B" w:rsidRDefault="00A27D10" w:rsidP="00F9663B">
      <w:pPr>
        <w:pStyle w:val="ListParagraph"/>
        <w:numPr>
          <w:ilvl w:val="0"/>
          <w:numId w:val="2"/>
        </w:numPr>
        <w:rPr>
          <w:sz w:val="24"/>
          <w:szCs w:val="24"/>
        </w:rPr>
      </w:pPr>
      <w:r>
        <w:rPr>
          <w:sz w:val="24"/>
          <w:szCs w:val="24"/>
        </w:rPr>
        <w:t>MSME Banking</w:t>
      </w:r>
    </w:p>
    <w:p w:rsidR="00A27D10" w:rsidRDefault="00A27D10" w:rsidP="00F9663B">
      <w:pPr>
        <w:pStyle w:val="ListParagraph"/>
        <w:numPr>
          <w:ilvl w:val="0"/>
          <w:numId w:val="2"/>
        </w:numPr>
        <w:rPr>
          <w:sz w:val="24"/>
          <w:szCs w:val="24"/>
        </w:rPr>
      </w:pPr>
      <w:r>
        <w:rPr>
          <w:sz w:val="24"/>
          <w:szCs w:val="24"/>
        </w:rPr>
        <w:t>NRB Banking</w:t>
      </w:r>
    </w:p>
    <w:p w:rsidR="00A27D10" w:rsidRDefault="00A27D10" w:rsidP="00A27D10">
      <w:pPr>
        <w:rPr>
          <w:sz w:val="24"/>
          <w:szCs w:val="24"/>
        </w:rPr>
      </w:pPr>
    </w:p>
    <w:p w:rsidR="00A27D10" w:rsidRDefault="006B4E2A" w:rsidP="00A27D10">
      <w:pPr>
        <w:rPr>
          <w:b/>
          <w:sz w:val="32"/>
          <w:szCs w:val="32"/>
        </w:rPr>
      </w:pPr>
      <w:r>
        <w:rPr>
          <w:b/>
          <w:sz w:val="32"/>
          <w:szCs w:val="32"/>
        </w:rPr>
        <w:lastRenderedPageBreak/>
        <w:t>2</w:t>
      </w:r>
      <w:r w:rsidR="00E2185F">
        <w:rPr>
          <w:b/>
          <w:sz w:val="32"/>
          <w:szCs w:val="32"/>
        </w:rPr>
        <w:t>.4</w:t>
      </w:r>
      <w:r w:rsidR="00625224">
        <w:rPr>
          <w:b/>
          <w:sz w:val="32"/>
          <w:szCs w:val="32"/>
        </w:rPr>
        <w:t xml:space="preserve"> </w:t>
      </w:r>
      <w:r w:rsidR="00A27D10">
        <w:rPr>
          <w:b/>
          <w:sz w:val="32"/>
          <w:szCs w:val="32"/>
        </w:rPr>
        <w:t xml:space="preserve">Some of the </w:t>
      </w:r>
      <w:r w:rsidR="00A27D10" w:rsidRPr="00A27D10">
        <w:rPr>
          <w:b/>
          <w:sz w:val="32"/>
          <w:szCs w:val="32"/>
        </w:rPr>
        <w:t>Awards and Achievements:</w:t>
      </w:r>
    </w:p>
    <w:p w:rsidR="00A27D10" w:rsidRPr="00A27D10" w:rsidRDefault="00A27D10" w:rsidP="00A27D10">
      <w:pPr>
        <w:pStyle w:val="ListParagraph"/>
        <w:numPr>
          <w:ilvl w:val="0"/>
          <w:numId w:val="3"/>
        </w:numPr>
        <w:rPr>
          <w:sz w:val="24"/>
          <w:szCs w:val="24"/>
        </w:rPr>
      </w:pPr>
      <w:r w:rsidRPr="00A27D10">
        <w:rPr>
          <w:sz w:val="24"/>
          <w:szCs w:val="24"/>
        </w:rPr>
        <w:t>ICMAB Best Corporate Performance Award 2009 – 1</w:t>
      </w:r>
      <w:r w:rsidRPr="00A27D10">
        <w:rPr>
          <w:sz w:val="24"/>
          <w:szCs w:val="24"/>
          <w:vertAlign w:val="superscript"/>
        </w:rPr>
        <w:t>st</w:t>
      </w:r>
      <w:r w:rsidRPr="00A27D10">
        <w:rPr>
          <w:sz w:val="24"/>
          <w:szCs w:val="24"/>
        </w:rPr>
        <w:t xml:space="preserve"> Prize (Jointly)</w:t>
      </w:r>
    </w:p>
    <w:p w:rsidR="00A27D10" w:rsidRPr="00A27D10" w:rsidRDefault="00A27D10" w:rsidP="00A27D10">
      <w:pPr>
        <w:pStyle w:val="ListParagraph"/>
        <w:numPr>
          <w:ilvl w:val="0"/>
          <w:numId w:val="3"/>
        </w:numPr>
        <w:rPr>
          <w:b/>
          <w:sz w:val="24"/>
          <w:szCs w:val="24"/>
        </w:rPr>
      </w:pPr>
      <w:r w:rsidRPr="00A27D10">
        <w:rPr>
          <w:sz w:val="24"/>
          <w:szCs w:val="24"/>
        </w:rPr>
        <w:t>SAFA Best Presented Accounts Awards 2010 Winner Joint Banking Sector</w:t>
      </w:r>
    </w:p>
    <w:p w:rsidR="00A27D10" w:rsidRPr="00A27D10" w:rsidRDefault="00A27D10" w:rsidP="00A27D10">
      <w:pPr>
        <w:pStyle w:val="ListParagraph"/>
        <w:numPr>
          <w:ilvl w:val="0"/>
          <w:numId w:val="3"/>
        </w:numPr>
        <w:rPr>
          <w:sz w:val="24"/>
          <w:szCs w:val="24"/>
        </w:rPr>
      </w:pPr>
      <w:r w:rsidRPr="00A27D10">
        <w:rPr>
          <w:sz w:val="24"/>
          <w:szCs w:val="24"/>
        </w:rPr>
        <w:t>11</w:t>
      </w:r>
      <w:r w:rsidRPr="00A27D10">
        <w:rPr>
          <w:sz w:val="24"/>
          <w:szCs w:val="24"/>
          <w:vertAlign w:val="superscript"/>
        </w:rPr>
        <w:t>th</w:t>
      </w:r>
      <w:r w:rsidRPr="00A27D10">
        <w:rPr>
          <w:sz w:val="24"/>
          <w:szCs w:val="24"/>
        </w:rPr>
        <w:t xml:space="preserve"> ICAB National Awards for Best Published Accounts and Reports 2010 1</w:t>
      </w:r>
      <w:r w:rsidRPr="00A27D10">
        <w:rPr>
          <w:sz w:val="24"/>
          <w:szCs w:val="24"/>
          <w:vertAlign w:val="superscript"/>
        </w:rPr>
        <w:t>st</w:t>
      </w:r>
      <w:r w:rsidRPr="00A27D10">
        <w:rPr>
          <w:sz w:val="24"/>
          <w:szCs w:val="24"/>
        </w:rPr>
        <w:t xml:space="preserve"> Prize in Financial Sector – Banking</w:t>
      </w:r>
    </w:p>
    <w:p w:rsidR="00A27D10" w:rsidRDefault="00A27D10" w:rsidP="00A27D10">
      <w:pPr>
        <w:pStyle w:val="ListParagraph"/>
        <w:numPr>
          <w:ilvl w:val="0"/>
          <w:numId w:val="3"/>
        </w:numPr>
        <w:rPr>
          <w:sz w:val="24"/>
          <w:szCs w:val="24"/>
        </w:rPr>
      </w:pPr>
      <w:r w:rsidRPr="00A27D10">
        <w:rPr>
          <w:sz w:val="24"/>
          <w:szCs w:val="24"/>
        </w:rPr>
        <w:t>Industry Best Rated Bank Award 2012</w:t>
      </w:r>
    </w:p>
    <w:p w:rsidR="00A27D10" w:rsidRDefault="00A27D10" w:rsidP="00A27D10">
      <w:pPr>
        <w:pStyle w:val="ListParagraph"/>
        <w:numPr>
          <w:ilvl w:val="0"/>
          <w:numId w:val="3"/>
        </w:numPr>
        <w:rPr>
          <w:sz w:val="24"/>
          <w:szCs w:val="24"/>
        </w:rPr>
      </w:pPr>
      <w:r>
        <w:rPr>
          <w:sz w:val="24"/>
          <w:szCs w:val="24"/>
        </w:rPr>
        <w:t>ICMAB Best Corporate Award 2013 1</w:t>
      </w:r>
      <w:r w:rsidRPr="00A27D10">
        <w:rPr>
          <w:sz w:val="24"/>
          <w:szCs w:val="24"/>
          <w:vertAlign w:val="superscript"/>
        </w:rPr>
        <w:t>st</w:t>
      </w:r>
      <w:r>
        <w:rPr>
          <w:sz w:val="24"/>
          <w:szCs w:val="24"/>
        </w:rPr>
        <w:t xml:space="preserve"> Position in Private Commercial Banks</w:t>
      </w:r>
    </w:p>
    <w:p w:rsidR="00F9663B" w:rsidRPr="00574015" w:rsidRDefault="00A27D10" w:rsidP="00574015">
      <w:pPr>
        <w:pStyle w:val="ListParagraph"/>
        <w:numPr>
          <w:ilvl w:val="0"/>
          <w:numId w:val="3"/>
        </w:numPr>
        <w:rPr>
          <w:sz w:val="24"/>
          <w:szCs w:val="24"/>
        </w:rPr>
      </w:pPr>
      <w:r>
        <w:rPr>
          <w:sz w:val="24"/>
          <w:szCs w:val="24"/>
        </w:rPr>
        <w:t>Best Bank of Bangladesh by Global Survey ( Best Emerging Market Bank in Asia) 2013</w:t>
      </w:r>
    </w:p>
    <w:p w:rsidR="00103E99" w:rsidRDefault="006B4E2A">
      <w:pPr>
        <w:rPr>
          <w:b/>
          <w:sz w:val="32"/>
          <w:szCs w:val="32"/>
        </w:rPr>
      </w:pPr>
      <w:r>
        <w:rPr>
          <w:b/>
          <w:sz w:val="32"/>
          <w:szCs w:val="32"/>
        </w:rPr>
        <w:t>2</w:t>
      </w:r>
      <w:r w:rsidR="00E2185F">
        <w:rPr>
          <w:b/>
          <w:sz w:val="32"/>
          <w:szCs w:val="32"/>
        </w:rPr>
        <w:t>.</w:t>
      </w:r>
      <w:r w:rsidR="002C1220">
        <w:rPr>
          <w:b/>
          <w:sz w:val="32"/>
          <w:szCs w:val="32"/>
        </w:rPr>
        <w:t xml:space="preserve"> </w:t>
      </w:r>
      <w:r w:rsidR="00103E99">
        <w:rPr>
          <w:b/>
          <w:sz w:val="32"/>
          <w:szCs w:val="32"/>
        </w:rPr>
        <w:t>Prime Bank at a glance</w:t>
      </w:r>
    </w:p>
    <w:tbl>
      <w:tblPr>
        <w:tblStyle w:val="LightShading-Accent1"/>
        <w:tblW w:w="0" w:type="auto"/>
        <w:tblLook w:val="04A0" w:firstRow="1" w:lastRow="0" w:firstColumn="1" w:lastColumn="0" w:noHBand="0" w:noVBand="1"/>
      </w:tblPr>
      <w:tblGrid>
        <w:gridCol w:w="4782"/>
        <w:gridCol w:w="4782"/>
      </w:tblGrid>
      <w:tr w:rsidR="00103E99" w:rsidTr="00CB4544">
        <w:trPr>
          <w:cnfStyle w:val="100000000000" w:firstRow="1" w:lastRow="0" w:firstColumn="0" w:lastColumn="0" w:oddVBand="0" w:evenVBand="0" w:oddHBand="0" w:evenHBand="0" w:firstRowFirstColumn="0" w:firstRowLastColumn="0" w:lastRowFirstColumn="0" w:lastRowLastColumn="0"/>
          <w:trHeight w:val="617"/>
        </w:trPr>
        <w:tc>
          <w:tcPr>
            <w:cnfStyle w:val="001000000000" w:firstRow="0" w:lastRow="0" w:firstColumn="1" w:lastColumn="0" w:oddVBand="0" w:evenVBand="0" w:oddHBand="0" w:evenHBand="0" w:firstRowFirstColumn="0" w:firstRowLastColumn="0" w:lastRowFirstColumn="0" w:lastRowLastColumn="0"/>
            <w:tcW w:w="4782" w:type="dxa"/>
          </w:tcPr>
          <w:p w:rsidR="00103E99" w:rsidRPr="00574015" w:rsidRDefault="00103E99">
            <w:pPr>
              <w:rPr>
                <w:b w:val="0"/>
                <w:sz w:val="24"/>
                <w:szCs w:val="24"/>
              </w:rPr>
            </w:pPr>
            <w:r w:rsidRPr="00574015">
              <w:rPr>
                <w:sz w:val="24"/>
                <w:szCs w:val="24"/>
              </w:rPr>
              <w:t>Name</w:t>
            </w:r>
          </w:p>
        </w:tc>
        <w:tc>
          <w:tcPr>
            <w:tcW w:w="4782" w:type="dxa"/>
          </w:tcPr>
          <w:p w:rsidR="00103E99" w:rsidRPr="00574015" w:rsidRDefault="00103E99">
            <w:pPr>
              <w:cnfStyle w:val="100000000000" w:firstRow="1" w:lastRow="0" w:firstColumn="0" w:lastColumn="0" w:oddVBand="0" w:evenVBand="0" w:oddHBand="0" w:evenHBand="0" w:firstRowFirstColumn="0" w:firstRowLastColumn="0" w:lastRowFirstColumn="0" w:lastRowLastColumn="0"/>
              <w:rPr>
                <w:sz w:val="24"/>
                <w:szCs w:val="24"/>
              </w:rPr>
            </w:pPr>
            <w:r w:rsidRPr="00574015">
              <w:rPr>
                <w:sz w:val="24"/>
                <w:szCs w:val="24"/>
              </w:rPr>
              <w:t>Prime Bank ltd</w:t>
            </w:r>
          </w:p>
        </w:tc>
      </w:tr>
      <w:tr w:rsidR="00103E99" w:rsidTr="00CB4544">
        <w:trPr>
          <w:cnfStyle w:val="000000100000" w:firstRow="0" w:lastRow="0" w:firstColumn="0" w:lastColumn="0" w:oddVBand="0" w:evenVBand="0" w:oddHBand="1" w:evenHBand="0" w:firstRowFirstColumn="0" w:firstRowLastColumn="0" w:lastRowFirstColumn="0" w:lastRowLastColumn="0"/>
          <w:trHeight w:val="617"/>
        </w:trPr>
        <w:tc>
          <w:tcPr>
            <w:cnfStyle w:val="001000000000" w:firstRow="0" w:lastRow="0" w:firstColumn="1" w:lastColumn="0" w:oddVBand="0" w:evenVBand="0" w:oddHBand="0" w:evenHBand="0" w:firstRowFirstColumn="0" w:firstRowLastColumn="0" w:lastRowFirstColumn="0" w:lastRowLastColumn="0"/>
            <w:tcW w:w="4782" w:type="dxa"/>
          </w:tcPr>
          <w:p w:rsidR="00103E99" w:rsidRPr="00574015" w:rsidRDefault="00103E99">
            <w:pPr>
              <w:rPr>
                <w:b w:val="0"/>
                <w:sz w:val="24"/>
                <w:szCs w:val="24"/>
              </w:rPr>
            </w:pPr>
            <w:r w:rsidRPr="00574015">
              <w:rPr>
                <w:sz w:val="24"/>
                <w:szCs w:val="24"/>
              </w:rPr>
              <w:t>Date of Establishment</w:t>
            </w:r>
          </w:p>
        </w:tc>
        <w:tc>
          <w:tcPr>
            <w:tcW w:w="4782" w:type="dxa"/>
          </w:tcPr>
          <w:p w:rsidR="00103E99" w:rsidRPr="00574015" w:rsidRDefault="00103E99">
            <w:pPr>
              <w:cnfStyle w:val="000000100000" w:firstRow="0" w:lastRow="0" w:firstColumn="0" w:lastColumn="0" w:oddVBand="0" w:evenVBand="0" w:oddHBand="1" w:evenHBand="0" w:firstRowFirstColumn="0" w:firstRowLastColumn="0" w:lastRowFirstColumn="0" w:lastRowLastColumn="0"/>
              <w:rPr>
                <w:sz w:val="24"/>
                <w:szCs w:val="24"/>
              </w:rPr>
            </w:pPr>
            <w:r w:rsidRPr="00574015">
              <w:rPr>
                <w:sz w:val="24"/>
                <w:szCs w:val="24"/>
              </w:rPr>
              <w:t>17</w:t>
            </w:r>
            <w:r w:rsidRPr="00574015">
              <w:rPr>
                <w:sz w:val="24"/>
                <w:szCs w:val="24"/>
                <w:vertAlign w:val="superscript"/>
              </w:rPr>
              <w:t>th</w:t>
            </w:r>
            <w:r w:rsidRPr="00574015">
              <w:rPr>
                <w:sz w:val="24"/>
                <w:szCs w:val="24"/>
              </w:rPr>
              <w:t xml:space="preserve"> April 1995</w:t>
            </w:r>
          </w:p>
        </w:tc>
      </w:tr>
      <w:tr w:rsidR="00103E99" w:rsidTr="00CB4544">
        <w:trPr>
          <w:trHeight w:val="617"/>
        </w:trPr>
        <w:tc>
          <w:tcPr>
            <w:cnfStyle w:val="001000000000" w:firstRow="0" w:lastRow="0" w:firstColumn="1" w:lastColumn="0" w:oddVBand="0" w:evenVBand="0" w:oddHBand="0" w:evenHBand="0" w:firstRowFirstColumn="0" w:firstRowLastColumn="0" w:lastRowFirstColumn="0" w:lastRowLastColumn="0"/>
            <w:tcW w:w="4782" w:type="dxa"/>
          </w:tcPr>
          <w:p w:rsidR="00103E99" w:rsidRPr="00574015" w:rsidRDefault="00103E99">
            <w:pPr>
              <w:rPr>
                <w:b w:val="0"/>
                <w:sz w:val="24"/>
                <w:szCs w:val="24"/>
              </w:rPr>
            </w:pPr>
            <w:r w:rsidRPr="00574015">
              <w:rPr>
                <w:sz w:val="24"/>
                <w:szCs w:val="24"/>
              </w:rPr>
              <w:t>Nature of Business</w:t>
            </w:r>
          </w:p>
        </w:tc>
        <w:tc>
          <w:tcPr>
            <w:tcW w:w="4782" w:type="dxa"/>
          </w:tcPr>
          <w:p w:rsidR="00103E99" w:rsidRPr="00574015" w:rsidRDefault="00103E99">
            <w:pPr>
              <w:cnfStyle w:val="000000000000" w:firstRow="0" w:lastRow="0" w:firstColumn="0" w:lastColumn="0" w:oddVBand="0" w:evenVBand="0" w:oddHBand="0" w:evenHBand="0" w:firstRowFirstColumn="0" w:firstRowLastColumn="0" w:lastRowFirstColumn="0" w:lastRowLastColumn="0"/>
              <w:rPr>
                <w:sz w:val="24"/>
                <w:szCs w:val="24"/>
              </w:rPr>
            </w:pPr>
            <w:r w:rsidRPr="00574015">
              <w:rPr>
                <w:sz w:val="24"/>
                <w:szCs w:val="24"/>
              </w:rPr>
              <w:t>Banking Service</w:t>
            </w:r>
          </w:p>
        </w:tc>
      </w:tr>
      <w:tr w:rsidR="00103E99" w:rsidTr="00CB4544">
        <w:trPr>
          <w:cnfStyle w:val="000000100000" w:firstRow="0" w:lastRow="0" w:firstColumn="0" w:lastColumn="0" w:oddVBand="0" w:evenVBand="0" w:oddHBand="1" w:evenHBand="0" w:firstRowFirstColumn="0" w:firstRowLastColumn="0" w:lastRowFirstColumn="0" w:lastRowLastColumn="0"/>
          <w:trHeight w:val="617"/>
        </w:trPr>
        <w:tc>
          <w:tcPr>
            <w:cnfStyle w:val="001000000000" w:firstRow="0" w:lastRow="0" w:firstColumn="1" w:lastColumn="0" w:oddVBand="0" w:evenVBand="0" w:oddHBand="0" w:evenHBand="0" w:firstRowFirstColumn="0" w:firstRowLastColumn="0" w:lastRowFirstColumn="0" w:lastRowLastColumn="0"/>
            <w:tcW w:w="4782" w:type="dxa"/>
          </w:tcPr>
          <w:p w:rsidR="00103E99" w:rsidRPr="00574015" w:rsidRDefault="00103E99">
            <w:pPr>
              <w:rPr>
                <w:b w:val="0"/>
                <w:sz w:val="24"/>
                <w:szCs w:val="24"/>
              </w:rPr>
            </w:pPr>
            <w:r w:rsidRPr="00574015">
              <w:rPr>
                <w:sz w:val="24"/>
                <w:szCs w:val="24"/>
              </w:rPr>
              <w:t>Head Office</w:t>
            </w:r>
          </w:p>
        </w:tc>
        <w:tc>
          <w:tcPr>
            <w:tcW w:w="4782" w:type="dxa"/>
          </w:tcPr>
          <w:p w:rsidR="00103E99" w:rsidRPr="00574015" w:rsidRDefault="00103E99">
            <w:pPr>
              <w:cnfStyle w:val="000000100000" w:firstRow="0" w:lastRow="0" w:firstColumn="0" w:lastColumn="0" w:oddVBand="0" w:evenVBand="0" w:oddHBand="1" w:evenHBand="0" w:firstRowFirstColumn="0" w:firstRowLastColumn="0" w:lastRowFirstColumn="0" w:lastRowLastColumn="0"/>
              <w:rPr>
                <w:sz w:val="24"/>
                <w:szCs w:val="24"/>
              </w:rPr>
            </w:pPr>
            <w:proofErr w:type="spellStart"/>
            <w:r w:rsidRPr="00574015">
              <w:rPr>
                <w:sz w:val="24"/>
                <w:szCs w:val="24"/>
              </w:rPr>
              <w:t>Motijheel</w:t>
            </w:r>
            <w:proofErr w:type="spellEnd"/>
          </w:p>
        </w:tc>
      </w:tr>
      <w:tr w:rsidR="00103E99" w:rsidTr="00CB4544">
        <w:trPr>
          <w:trHeight w:val="617"/>
        </w:trPr>
        <w:tc>
          <w:tcPr>
            <w:cnfStyle w:val="001000000000" w:firstRow="0" w:lastRow="0" w:firstColumn="1" w:lastColumn="0" w:oddVBand="0" w:evenVBand="0" w:oddHBand="0" w:evenHBand="0" w:firstRowFirstColumn="0" w:firstRowLastColumn="0" w:lastRowFirstColumn="0" w:lastRowLastColumn="0"/>
            <w:tcW w:w="4782" w:type="dxa"/>
          </w:tcPr>
          <w:p w:rsidR="00103E99" w:rsidRPr="00574015" w:rsidRDefault="00103E99">
            <w:pPr>
              <w:rPr>
                <w:b w:val="0"/>
                <w:sz w:val="24"/>
                <w:szCs w:val="24"/>
              </w:rPr>
            </w:pPr>
            <w:r w:rsidRPr="00574015">
              <w:rPr>
                <w:sz w:val="24"/>
                <w:szCs w:val="24"/>
              </w:rPr>
              <w:t>Number of Branches</w:t>
            </w:r>
          </w:p>
        </w:tc>
        <w:tc>
          <w:tcPr>
            <w:tcW w:w="4782" w:type="dxa"/>
          </w:tcPr>
          <w:p w:rsidR="00103E99" w:rsidRPr="00574015" w:rsidRDefault="00103E99">
            <w:pPr>
              <w:cnfStyle w:val="000000000000" w:firstRow="0" w:lastRow="0" w:firstColumn="0" w:lastColumn="0" w:oddVBand="0" w:evenVBand="0" w:oddHBand="0" w:evenHBand="0" w:firstRowFirstColumn="0" w:firstRowLastColumn="0" w:lastRowFirstColumn="0" w:lastRowLastColumn="0"/>
              <w:rPr>
                <w:sz w:val="24"/>
                <w:szCs w:val="24"/>
              </w:rPr>
            </w:pPr>
            <w:r w:rsidRPr="00574015">
              <w:rPr>
                <w:sz w:val="24"/>
                <w:szCs w:val="24"/>
              </w:rPr>
              <w:t>1</w:t>
            </w:r>
            <w:r w:rsidR="00A22F8B" w:rsidRPr="00574015">
              <w:rPr>
                <w:sz w:val="24"/>
                <w:szCs w:val="24"/>
              </w:rPr>
              <w:t>46</w:t>
            </w:r>
          </w:p>
        </w:tc>
      </w:tr>
      <w:tr w:rsidR="00103E99" w:rsidTr="00CB4544">
        <w:trPr>
          <w:cnfStyle w:val="000000100000" w:firstRow="0" w:lastRow="0" w:firstColumn="0" w:lastColumn="0" w:oddVBand="0" w:evenVBand="0" w:oddHBand="1" w:evenHBand="0" w:firstRowFirstColumn="0" w:firstRowLastColumn="0" w:lastRowFirstColumn="0" w:lastRowLastColumn="0"/>
          <w:trHeight w:val="617"/>
        </w:trPr>
        <w:tc>
          <w:tcPr>
            <w:cnfStyle w:val="001000000000" w:firstRow="0" w:lastRow="0" w:firstColumn="1" w:lastColumn="0" w:oddVBand="0" w:evenVBand="0" w:oddHBand="0" w:evenHBand="0" w:firstRowFirstColumn="0" w:firstRowLastColumn="0" w:lastRowFirstColumn="0" w:lastRowLastColumn="0"/>
            <w:tcW w:w="4782" w:type="dxa"/>
          </w:tcPr>
          <w:p w:rsidR="00103E99" w:rsidRPr="00574015" w:rsidRDefault="00103E99">
            <w:pPr>
              <w:rPr>
                <w:b w:val="0"/>
                <w:sz w:val="24"/>
                <w:szCs w:val="24"/>
              </w:rPr>
            </w:pPr>
            <w:r w:rsidRPr="00574015">
              <w:rPr>
                <w:sz w:val="24"/>
                <w:szCs w:val="24"/>
              </w:rPr>
              <w:t>Number of ATM</w:t>
            </w:r>
          </w:p>
        </w:tc>
        <w:tc>
          <w:tcPr>
            <w:tcW w:w="4782" w:type="dxa"/>
          </w:tcPr>
          <w:p w:rsidR="00A22F8B" w:rsidRPr="00574015" w:rsidRDefault="00103E99">
            <w:pPr>
              <w:cnfStyle w:val="000000100000" w:firstRow="0" w:lastRow="0" w:firstColumn="0" w:lastColumn="0" w:oddVBand="0" w:evenVBand="0" w:oddHBand="1" w:evenHBand="0" w:firstRowFirstColumn="0" w:firstRowLastColumn="0" w:lastRowFirstColumn="0" w:lastRowLastColumn="0"/>
              <w:rPr>
                <w:sz w:val="24"/>
                <w:szCs w:val="24"/>
              </w:rPr>
            </w:pPr>
            <w:r w:rsidRPr="00574015">
              <w:rPr>
                <w:sz w:val="24"/>
                <w:szCs w:val="24"/>
              </w:rPr>
              <w:t>1</w:t>
            </w:r>
            <w:r w:rsidR="00A22F8B" w:rsidRPr="00574015">
              <w:rPr>
                <w:sz w:val="24"/>
                <w:szCs w:val="24"/>
              </w:rPr>
              <w:t>70</w:t>
            </w:r>
          </w:p>
        </w:tc>
      </w:tr>
      <w:tr w:rsidR="00A22F8B" w:rsidTr="00CB4544">
        <w:trPr>
          <w:trHeight w:val="617"/>
        </w:trPr>
        <w:tc>
          <w:tcPr>
            <w:cnfStyle w:val="001000000000" w:firstRow="0" w:lastRow="0" w:firstColumn="1" w:lastColumn="0" w:oddVBand="0" w:evenVBand="0" w:oddHBand="0" w:evenHBand="0" w:firstRowFirstColumn="0" w:firstRowLastColumn="0" w:lastRowFirstColumn="0" w:lastRowLastColumn="0"/>
            <w:tcW w:w="4782" w:type="dxa"/>
          </w:tcPr>
          <w:p w:rsidR="00A22F8B" w:rsidRPr="00574015" w:rsidRDefault="00A22F8B">
            <w:pPr>
              <w:rPr>
                <w:b w:val="0"/>
                <w:sz w:val="24"/>
                <w:szCs w:val="24"/>
              </w:rPr>
            </w:pPr>
            <w:r w:rsidRPr="00574015">
              <w:rPr>
                <w:sz w:val="24"/>
                <w:szCs w:val="24"/>
              </w:rPr>
              <w:t>Number of Subsidiaries</w:t>
            </w:r>
          </w:p>
        </w:tc>
        <w:tc>
          <w:tcPr>
            <w:tcW w:w="4782" w:type="dxa"/>
          </w:tcPr>
          <w:p w:rsidR="00A22F8B" w:rsidRPr="00574015" w:rsidRDefault="00A22F8B">
            <w:pPr>
              <w:cnfStyle w:val="000000000000" w:firstRow="0" w:lastRow="0" w:firstColumn="0" w:lastColumn="0" w:oddVBand="0" w:evenVBand="0" w:oddHBand="0" w:evenHBand="0" w:firstRowFirstColumn="0" w:firstRowLastColumn="0" w:lastRowFirstColumn="0" w:lastRowLastColumn="0"/>
              <w:rPr>
                <w:sz w:val="24"/>
                <w:szCs w:val="24"/>
              </w:rPr>
            </w:pPr>
            <w:r w:rsidRPr="00574015">
              <w:rPr>
                <w:sz w:val="24"/>
                <w:szCs w:val="24"/>
              </w:rPr>
              <w:t>5</w:t>
            </w:r>
          </w:p>
        </w:tc>
      </w:tr>
      <w:tr w:rsidR="00A22F8B" w:rsidTr="00CB4544">
        <w:trPr>
          <w:cnfStyle w:val="000000100000" w:firstRow="0" w:lastRow="0" w:firstColumn="0" w:lastColumn="0" w:oddVBand="0" w:evenVBand="0" w:oddHBand="1" w:evenHBand="0" w:firstRowFirstColumn="0" w:firstRowLastColumn="0" w:lastRowFirstColumn="0" w:lastRowLastColumn="0"/>
          <w:trHeight w:val="575"/>
        </w:trPr>
        <w:tc>
          <w:tcPr>
            <w:cnfStyle w:val="001000000000" w:firstRow="0" w:lastRow="0" w:firstColumn="1" w:lastColumn="0" w:oddVBand="0" w:evenVBand="0" w:oddHBand="0" w:evenHBand="0" w:firstRowFirstColumn="0" w:firstRowLastColumn="0" w:lastRowFirstColumn="0" w:lastRowLastColumn="0"/>
            <w:tcW w:w="4782" w:type="dxa"/>
          </w:tcPr>
          <w:p w:rsidR="00574015" w:rsidRPr="00574015" w:rsidRDefault="00574015" w:rsidP="00CB4544">
            <w:pPr>
              <w:spacing w:after="100" w:afterAutospacing="1"/>
              <w:rPr>
                <w:sz w:val="24"/>
                <w:szCs w:val="24"/>
              </w:rPr>
            </w:pPr>
            <w:r>
              <w:rPr>
                <w:b w:val="0"/>
                <w:sz w:val="24"/>
                <w:szCs w:val="24"/>
              </w:rPr>
              <w:t>Listing information</w:t>
            </w:r>
          </w:p>
        </w:tc>
        <w:tc>
          <w:tcPr>
            <w:tcW w:w="4782" w:type="dxa"/>
          </w:tcPr>
          <w:p w:rsidR="00A22F8B" w:rsidRPr="00574015" w:rsidRDefault="00A22F8B" w:rsidP="00CB4544">
            <w:pPr>
              <w:spacing w:after="100" w:afterAutospacing="1"/>
              <w:cnfStyle w:val="000000100000" w:firstRow="0" w:lastRow="0" w:firstColumn="0" w:lastColumn="0" w:oddVBand="0" w:evenVBand="0" w:oddHBand="1" w:evenHBand="0" w:firstRowFirstColumn="0" w:firstRowLastColumn="0" w:lastRowFirstColumn="0" w:lastRowLastColumn="0"/>
              <w:rPr>
                <w:sz w:val="24"/>
                <w:szCs w:val="24"/>
              </w:rPr>
            </w:pPr>
            <w:r w:rsidRPr="00574015">
              <w:rPr>
                <w:sz w:val="24"/>
                <w:szCs w:val="24"/>
              </w:rPr>
              <w:t>DSE 27 Mar, 2000</w:t>
            </w:r>
            <w:r w:rsidR="00574015" w:rsidRPr="00574015">
              <w:rPr>
                <w:sz w:val="24"/>
                <w:szCs w:val="24"/>
              </w:rPr>
              <w:t>,</w:t>
            </w:r>
            <w:r w:rsidRPr="00574015">
              <w:rPr>
                <w:sz w:val="24"/>
                <w:szCs w:val="24"/>
              </w:rPr>
              <w:t>CSE 15 Nov 1999</w:t>
            </w:r>
          </w:p>
        </w:tc>
      </w:tr>
      <w:tr w:rsidR="00A22F8B" w:rsidTr="00CB4544">
        <w:trPr>
          <w:trHeight w:val="746"/>
        </w:trPr>
        <w:tc>
          <w:tcPr>
            <w:cnfStyle w:val="001000000000" w:firstRow="0" w:lastRow="0" w:firstColumn="1" w:lastColumn="0" w:oddVBand="0" w:evenVBand="0" w:oddHBand="0" w:evenHBand="0" w:firstRowFirstColumn="0" w:firstRowLastColumn="0" w:lastRowFirstColumn="0" w:lastRowLastColumn="0"/>
            <w:tcW w:w="4782" w:type="dxa"/>
          </w:tcPr>
          <w:p w:rsidR="00A22F8B" w:rsidRPr="00574015" w:rsidRDefault="00A22F8B" w:rsidP="00CB4544">
            <w:pPr>
              <w:spacing w:after="100" w:afterAutospacing="1"/>
              <w:rPr>
                <w:b w:val="0"/>
                <w:sz w:val="24"/>
                <w:szCs w:val="24"/>
              </w:rPr>
            </w:pPr>
            <w:r w:rsidRPr="00574015">
              <w:rPr>
                <w:sz w:val="24"/>
                <w:szCs w:val="24"/>
              </w:rPr>
              <w:t>Authorized Capital</w:t>
            </w:r>
          </w:p>
        </w:tc>
        <w:tc>
          <w:tcPr>
            <w:tcW w:w="4782" w:type="dxa"/>
          </w:tcPr>
          <w:p w:rsidR="00A22F8B" w:rsidRPr="00574015" w:rsidRDefault="00A22F8B" w:rsidP="00CB4544">
            <w:pPr>
              <w:spacing w:after="100" w:afterAutospacing="1"/>
              <w:cnfStyle w:val="000000000000" w:firstRow="0" w:lastRow="0" w:firstColumn="0" w:lastColumn="0" w:oddVBand="0" w:evenVBand="0" w:oddHBand="0" w:evenHBand="0" w:firstRowFirstColumn="0" w:firstRowLastColumn="0" w:lastRowFirstColumn="0" w:lastRowLastColumn="0"/>
              <w:rPr>
                <w:sz w:val="24"/>
                <w:szCs w:val="24"/>
              </w:rPr>
            </w:pPr>
            <w:r w:rsidRPr="00574015">
              <w:rPr>
                <w:sz w:val="24"/>
                <w:szCs w:val="24"/>
              </w:rPr>
              <w:t>BDT 2500</w:t>
            </w:r>
            <w:r w:rsidR="00A942DE" w:rsidRPr="00574015">
              <w:rPr>
                <w:sz w:val="24"/>
                <w:szCs w:val="24"/>
              </w:rPr>
              <w:t>0</w:t>
            </w:r>
            <w:r w:rsidRPr="00574015">
              <w:rPr>
                <w:sz w:val="24"/>
                <w:szCs w:val="24"/>
              </w:rPr>
              <w:t xml:space="preserve"> million (as on 31</w:t>
            </w:r>
            <w:r w:rsidRPr="00574015">
              <w:rPr>
                <w:sz w:val="24"/>
                <w:szCs w:val="24"/>
                <w:vertAlign w:val="superscript"/>
              </w:rPr>
              <w:t>st</w:t>
            </w:r>
            <w:r w:rsidRPr="00574015">
              <w:rPr>
                <w:sz w:val="24"/>
                <w:szCs w:val="24"/>
              </w:rPr>
              <w:t xml:space="preserve"> Dec 2018)</w:t>
            </w:r>
          </w:p>
        </w:tc>
      </w:tr>
      <w:tr w:rsidR="00A22F8B" w:rsidTr="00CB4544">
        <w:trPr>
          <w:cnfStyle w:val="000000100000" w:firstRow="0" w:lastRow="0" w:firstColumn="0" w:lastColumn="0" w:oddVBand="0" w:evenVBand="0" w:oddHBand="1" w:evenHBand="0" w:firstRowFirstColumn="0" w:firstRowLastColumn="0" w:lastRowFirstColumn="0" w:lastRowLastColumn="0"/>
          <w:trHeight w:val="845"/>
        </w:trPr>
        <w:tc>
          <w:tcPr>
            <w:cnfStyle w:val="001000000000" w:firstRow="0" w:lastRow="0" w:firstColumn="1" w:lastColumn="0" w:oddVBand="0" w:evenVBand="0" w:oddHBand="0" w:evenHBand="0" w:firstRowFirstColumn="0" w:firstRowLastColumn="0" w:lastRowFirstColumn="0" w:lastRowLastColumn="0"/>
            <w:tcW w:w="4782" w:type="dxa"/>
          </w:tcPr>
          <w:p w:rsidR="00A22F8B" w:rsidRPr="00574015" w:rsidRDefault="00A22F8B" w:rsidP="00CB4544">
            <w:pPr>
              <w:spacing w:after="100" w:afterAutospacing="1"/>
              <w:rPr>
                <w:b w:val="0"/>
                <w:sz w:val="24"/>
                <w:szCs w:val="24"/>
              </w:rPr>
            </w:pPr>
            <w:r w:rsidRPr="00574015">
              <w:rPr>
                <w:sz w:val="24"/>
                <w:szCs w:val="24"/>
              </w:rPr>
              <w:t>Paid Up Capital</w:t>
            </w:r>
          </w:p>
        </w:tc>
        <w:tc>
          <w:tcPr>
            <w:tcW w:w="4782" w:type="dxa"/>
          </w:tcPr>
          <w:p w:rsidR="00A22F8B" w:rsidRPr="00574015" w:rsidRDefault="00A22F8B" w:rsidP="00CB4544">
            <w:pPr>
              <w:spacing w:after="100" w:afterAutospacing="1"/>
              <w:cnfStyle w:val="000000100000" w:firstRow="0" w:lastRow="0" w:firstColumn="0" w:lastColumn="0" w:oddVBand="0" w:evenVBand="0" w:oddHBand="1" w:evenHBand="0" w:firstRowFirstColumn="0" w:firstRowLastColumn="0" w:lastRowFirstColumn="0" w:lastRowLastColumn="0"/>
              <w:rPr>
                <w:sz w:val="24"/>
                <w:szCs w:val="24"/>
              </w:rPr>
            </w:pPr>
            <w:r w:rsidRPr="00574015">
              <w:rPr>
                <w:sz w:val="24"/>
                <w:szCs w:val="24"/>
              </w:rPr>
              <w:t>BDT 11323 million (as on 31</w:t>
            </w:r>
            <w:r w:rsidRPr="00574015">
              <w:rPr>
                <w:sz w:val="24"/>
                <w:szCs w:val="24"/>
                <w:vertAlign w:val="superscript"/>
              </w:rPr>
              <w:t>st</w:t>
            </w:r>
            <w:r w:rsidRPr="00574015">
              <w:rPr>
                <w:sz w:val="24"/>
                <w:szCs w:val="24"/>
              </w:rPr>
              <w:t xml:space="preserve"> Dec 2018)</w:t>
            </w:r>
          </w:p>
        </w:tc>
      </w:tr>
      <w:tr w:rsidR="00103E99" w:rsidTr="00CB4544">
        <w:trPr>
          <w:trHeight w:val="617"/>
        </w:trPr>
        <w:tc>
          <w:tcPr>
            <w:cnfStyle w:val="001000000000" w:firstRow="0" w:lastRow="0" w:firstColumn="1" w:lastColumn="0" w:oddVBand="0" w:evenVBand="0" w:oddHBand="0" w:evenHBand="0" w:firstRowFirstColumn="0" w:firstRowLastColumn="0" w:lastRowFirstColumn="0" w:lastRowLastColumn="0"/>
            <w:tcW w:w="4782" w:type="dxa"/>
          </w:tcPr>
          <w:p w:rsidR="00103E99" w:rsidRPr="00574015" w:rsidRDefault="00103E99" w:rsidP="00CB4544">
            <w:pPr>
              <w:spacing w:after="100" w:afterAutospacing="1"/>
              <w:rPr>
                <w:b w:val="0"/>
                <w:sz w:val="24"/>
                <w:szCs w:val="24"/>
              </w:rPr>
            </w:pPr>
            <w:r w:rsidRPr="00574015">
              <w:rPr>
                <w:sz w:val="24"/>
                <w:szCs w:val="24"/>
              </w:rPr>
              <w:t>Chair</w:t>
            </w:r>
            <w:r w:rsidR="00A22F8B" w:rsidRPr="00574015">
              <w:rPr>
                <w:sz w:val="24"/>
                <w:szCs w:val="24"/>
              </w:rPr>
              <w:t>man</w:t>
            </w:r>
          </w:p>
        </w:tc>
        <w:tc>
          <w:tcPr>
            <w:tcW w:w="4782" w:type="dxa"/>
          </w:tcPr>
          <w:p w:rsidR="00A22F8B" w:rsidRPr="00574015" w:rsidRDefault="00A22F8B" w:rsidP="00CB4544">
            <w:pPr>
              <w:spacing w:after="100" w:afterAutospacing="1"/>
              <w:cnfStyle w:val="000000000000" w:firstRow="0" w:lastRow="0" w:firstColumn="0" w:lastColumn="0" w:oddVBand="0" w:evenVBand="0" w:oddHBand="0" w:evenHBand="0" w:firstRowFirstColumn="0" w:firstRowLastColumn="0" w:lastRowFirstColumn="0" w:lastRowLastColumn="0"/>
              <w:rPr>
                <w:sz w:val="24"/>
                <w:szCs w:val="24"/>
              </w:rPr>
            </w:pPr>
            <w:proofErr w:type="spellStart"/>
            <w:r w:rsidRPr="00574015">
              <w:rPr>
                <w:sz w:val="24"/>
                <w:szCs w:val="24"/>
              </w:rPr>
              <w:t>Azam</w:t>
            </w:r>
            <w:proofErr w:type="spellEnd"/>
            <w:r w:rsidRPr="00574015">
              <w:rPr>
                <w:sz w:val="24"/>
                <w:szCs w:val="24"/>
              </w:rPr>
              <w:t xml:space="preserve"> J Chowdhury</w:t>
            </w:r>
          </w:p>
        </w:tc>
      </w:tr>
      <w:tr w:rsidR="00A22F8B" w:rsidTr="00CB4544">
        <w:trPr>
          <w:cnfStyle w:val="000000100000" w:firstRow="0" w:lastRow="0" w:firstColumn="0" w:lastColumn="0" w:oddVBand="0" w:evenVBand="0" w:oddHBand="1" w:evenHBand="0" w:firstRowFirstColumn="0" w:firstRowLastColumn="0" w:lastRowFirstColumn="0" w:lastRowLastColumn="0"/>
          <w:trHeight w:val="638"/>
        </w:trPr>
        <w:tc>
          <w:tcPr>
            <w:cnfStyle w:val="001000000000" w:firstRow="0" w:lastRow="0" w:firstColumn="1" w:lastColumn="0" w:oddVBand="0" w:evenVBand="0" w:oddHBand="0" w:evenHBand="0" w:firstRowFirstColumn="0" w:firstRowLastColumn="0" w:lastRowFirstColumn="0" w:lastRowLastColumn="0"/>
            <w:tcW w:w="4782" w:type="dxa"/>
          </w:tcPr>
          <w:p w:rsidR="00A22F8B" w:rsidRPr="00CB4544" w:rsidRDefault="00A22F8B">
            <w:pPr>
              <w:rPr>
                <w:b w:val="0"/>
                <w:sz w:val="24"/>
                <w:szCs w:val="24"/>
              </w:rPr>
            </w:pPr>
            <w:r w:rsidRPr="00CB4544">
              <w:rPr>
                <w:sz w:val="24"/>
                <w:szCs w:val="24"/>
              </w:rPr>
              <w:t>MD and CEO</w:t>
            </w:r>
          </w:p>
        </w:tc>
        <w:tc>
          <w:tcPr>
            <w:tcW w:w="4782" w:type="dxa"/>
          </w:tcPr>
          <w:p w:rsidR="00A22F8B" w:rsidRPr="00CB4544" w:rsidRDefault="00A22F8B">
            <w:pPr>
              <w:cnfStyle w:val="000000100000" w:firstRow="0" w:lastRow="0" w:firstColumn="0" w:lastColumn="0" w:oddVBand="0" w:evenVBand="0" w:oddHBand="1" w:evenHBand="0" w:firstRowFirstColumn="0" w:firstRowLastColumn="0" w:lastRowFirstColumn="0" w:lastRowLastColumn="0"/>
              <w:rPr>
                <w:sz w:val="24"/>
                <w:szCs w:val="24"/>
              </w:rPr>
            </w:pPr>
            <w:proofErr w:type="spellStart"/>
            <w:r w:rsidRPr="00CB4544">
              <w:rPr>
                <w:sz w:val="24"/>
                <w:szCs w:val="24"/>
              </w:rPr>
              <w:t>Rahel</w:t>
            </w:r>
            <w:proofErr w:type="spellEnd"/>
            <w:r w:rsidRPr="00CB4544">
              <w:rPr>
                <w:sz w:val="24"/>
                <w:szCs w:val="24"/>
              </w:rPr>
              <w:t xml:space="preserve"> Ahmed</w:t>
            </w:r>
          </w:p>
        </w:tc>
      </w:tr>
    </w:tbl>
    <w:p w:rsidR="00103E99" w:rsidRDefault="00103E99">
      <w:pPr>
        <w:rPr>
          <w:b/>
          <w:sz w:val="32"/>
          <w:szCs w:val="32"/>
        </w:rPr>
      </w:pPr>
    </w:p>
    <w:p w:rsidR="00103E99" w:rsidRDefault="00103E99">
      <w:pPr>
        <w:rPr>
          <w:b/>
          <w:sz w:val="32"/>
          <w:szCs w:val="32"/>
        </w:rPr>
      </w:pPr>
      <w:r>
        <w:rPr>
          <w:b/>
          <w:sz w:val="32"/>
          <w:szCs w:val="32"/>
        </w:rPr>
        <w:br w:type="page"/>
      </w:r>
    </w:p>
    <w:p w:rsidR="006B4E2A" w:rsidRDefault="006B4E2A">
      <w:pPr>
        <w:rPr>
          <w:b/>
          <w:sz w:val="32"/>
          <w:szCs w:val="32"/>
        </w:rPr>
      </w:pPr>
    </w:p>
    <w:p w:rsidR="00B93E0C" w:rsidRPr="00EF64A7" w:rsidRDefault="006B4E2A" w:rsidP="00625224">
      <w:pPr>
        <w:jc w:val="center"/>
        <w:rPr>
          <w:b/>
          <w:sz w:val="32"/>
          <w:szCs w:val="32"/>
        </w:rPr>
      </w:pPr>
      <w:r>
        <w:rPr>
          <w:b/>
          <w:sz w:val="32"/>
          <w:szCs w:val="32"/>
        </w:rPr>
        <w:t>3</w:t>
      </w:r>
      <w:r w:rsidR="00127653">
        <w:rPr>
          <w:b/>
          <w:sz w:val="32"/>
          <w:szCs w:val="32"/>
        </w:rPr>
        <w:t xml:space="preserve">. </w:t>
      </w:r>
      <w:r w:rsidR="00CB4544">
        <w:rPr>
          <w:b/>
          <w:sz w:val="32"/>
          <w:szCs w:val="32"/>
        </w:rPr>
        <w:t>Analysis of Financial Performances</w:t>
      </w:r>
    </w:p>
    <w:p w:rsidR="00CB4544" w:rsidRPr="00CB4544" w:rsidRDefault="00CB4544" w:rsidP="00CB4544">
      <w:pPr>
        <w:pBdr>
          <w:bottom w:val="single" w:sz="4" w:space="1" w:color="auto"/>
        </w:pBdr>
        <w:rPr>
          <w:b/>
          <w:sz w:val="32"/>
          <w:szCs w:val="32"/>
        </w:rPr>
      </w:pPr>
      <w:r w:rsidRPr="00CB4544">
        <w:rPr>
          <w:b/>
          <w:sz w:val="32"/>
          <w:szCs w:val="32"/>
        </w:rPr>
        <w:t>Ratio Analysis</w:t>
      </w:r>
    </w:p>
    <w:p w:rsidR="00224CB7" w:rsidRPr="00D52069" w:rsidRDefault="006B4E2A">
      <w:pPr>
        <w:rPr>
          <w:sz w:val="32"/>
          <w:szCs w:val="32"/>
          <w:u w:val="single"/>
        </w:rPr>
      </w:pPr>
      <w:r>
        <w:rPr>
          <w:b/>
          <w:sz w:val="32"/>
          <w:szCs w:val="32"/>
          <w:u w:val="single"/>
        </w:rPr>
        <w:t>3</w:t>
      </w:r>
      <w:r w:rsidR="00127653">
        <w:rPr>
          <w:b/>
          <w:sz w:val="32"/>
          <w:szCs w:val="32"/>
          <w:u w:val="single"/>
        </w:rPr>
        <w:t xml:space="preserve">.1 </w:t>
      </w:r>
      <w:r w:rsidR="009C6B24" w:rsidRPr="00D52069">
        <w:rPr>
          <w:b/>
          <w:sz w:val="32"/>
          <w:szCs w:val="32"/>
          <w:u w:val="single"/>
        </w:rPr>
        <w:t>Liquidity Ratios</w:t>
      </w:r>
      <w:r w:rsidR="00AB040D" w:rsidRPr="00D52069">
        <w:rPr>
          <w:sz w:val="32"/>
          <w:szCs w:val="32"/>
          <w:u w:val="single"/>
        </w:rPr>
        <w:t xml:space="preserve"> </w:t>
      </w:r>
    </w:p>
    <w:p w:rsidR="009C6B24" w:rsidRPr="00D52069" w:rsidRDefault="00AB040D" w:rsidP="009577C4">
      <w:pPr>
        <w:jc w:val="both"/>
        <w:rPr>
          <w:sz w:val="24"/>
          <w:szCs w:val="24"/>
        </w:rPr>
      </w:pPr>
      <w:r w:rsidRPr="00D52069">
        <w:rPr>
          <w:sz w:val="24"/>
          <w:szCs w:val="24"/>
        </w:rPr>
        <w:t>Liquidity ratio</w:t>
      </w:r>
      <w:r w:rsidR="009C6B24" w:rsidRPr="00D52069">
        <w:rPr>
          <w:sz w:val="24"/>
          <w:szCs w:val="24"/>
        </w:rPr>
        <w:t xml:space="preserve"> determines the ability to convert its assets into cash and pay off its obligations without any significant difficulty.</w:t>
      </w:r>
      <w:r w:rsidRPr="00D52069">
        <w:rPr>
          <w:sz w:val="24"/>
          <w:szCs w:val="24"/>
        </w:rPr>
        <w:t xml:space="preserve"> The company</w:t>
      </w:r>
      <w:r w:rsidR="00A64F3D" w:rsidRPr="00D52069">
        <w:rPr>
          <w:sz w:val="24"/>
          <w:szCs w:val="24"/>
        </w:rPr>
        <w:t>’</w:t>
      </w:r>
      <w:r w:rsidRPr="00D52069">
        <w:rPr>
          <w:sz w:val="24"/>
          <w:szCs w:val="24"/>
        </w:rPr>
        <w:t xml:space="preserve">s exposure to liquidity risk arises primarily from the mismatches of the maturities of financial assets and liabilities. PBL maintains sufficient cash and cash equivalents and internally generated cash flows to finance their </w:t>
      </w:r>
      <w:r w:rsidR="00A64F3D" w:rsidRPr="00D52069">
        <w:rPr>
          <w:sz w:val="24"/>
          <w:szCs w:val="24"/>
        </w:rPr>
        <w:t>activities.</w:t>
      </w:r>
    </w:p>
    <w:p w:rsidR="00804822" w:rsidRPr="00D52069" w:rsidRDefault="00804822">
      <w:pPr>
        <w:rPr>
          <w:sz w:val="24"/>
          <w:szCs w:val="24"/>
        </w:rPr>
      </w:pPr>
    </w:p>
    <w:p w:rsidR="00804822" w:rsidRPr="00BA4CF1" w:rsidRDefault="00127653" w:rsidP="00127653">
      <w:pPr>
        <w:rPr>
          <w:b/>
          <w:sz w:val="24"/>
          <w:szCs w:val="24"/>
        </w:rPr>
      </w:pPr>
      <w:r>
        <w:rPr>
          <w:b/>
          <w:sz w:val="24"/>
          <w:szCs w:val="24"/>
        </w:rPr>
        <w:t>(</w:t>
      </w:r>
      <w:proofErr w:type="spellStart"/>
      <w:r>
        <w:rPr>
          <w:b/>
          <w:sz w:val="24"/>
          <w:szCs w:val="24"/>
        </w:rPr>
        <w:t>i</w:t>
      </w:r>
      <w:proofErr w:type="spellEnd"/>
      <w:r>
        <w:rPr>
          <w:b/>
          <w:sz w:val="24"/>
          <w:szCs w:val="24"/>
        </w:rPr>
        <w:t xml:space="preserve">) </w:t>
      </w:r>
      <w:r w:rsidR="00804822" w:rsidRPr="00D52069">
        <w:rPr>
          <w:b/>
          <w:sz w:val="24"/>
          <w:szCs w:val="24"/>
        </w:rPr>
        <w:t>Current Ratio</w:t>
      </w:r>
    </w:p>
    <w:p w:rsidR="00804822" w:rsidRPr="00D52069" w:rsidRDefault="00804822">
      <w:pPr>
        <w:rPr>
          <w:sz w:val="24"/>
          <w:szCs w:val="24"/>
        </w:rPr>
      </w:pPr>
      <w:r w:rsidRPr="00D52069">
        <w:rPr>
          <w:noProof/>
          <w:sz w:val="24"/>
          <w:szCs w:val="24"/>
        </w:rPr>
        <w:drawing>
          <wp:inline distT="0" distB="0" distL="0" distR="0">
            <wp:extent cx="5488057" cy="2186609"/>
            <wp:effectExtent l="19050" t="0" r="17393" b="4141"/>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bl>
      <w:tblPr>
        <w:tblW w:w="8679" w:type="dxa"/>
        <w:tblInd w:w="95" w:type="dxa"/>
        <w:tblLook w:val="04A0" w:firstRow="1" w:lastRow="0" w:firstColumn="1" w:lastColumn="0" w:noHBand="0" w:noVBand="1"/>
      </w:tblPr>
      <w:tblGrid>
        <w:gridCol w:w="3700"/>
        <w:gridCol w:w="236"/>
        <w:gridCol w:w="795"/>
        <w:gridCol w:w="275"/>
        <w:gridCol w:w="703"/>
        <w:gridCol w:w="250"/>
        <w:gridCol w:w="707"/>
        <w:gridCol w:w="301"/>
        <w:gridCol w:w="703"/>
        <w:gridCol w:w="236"/>
        <w:gridCol w:w="773"/>
      </w:tblGrid>
      <w:tr w:rsidR="00534F2A" w:rsidRPr="00D52069" w:rsidTr="00534F2A">
        <w:trPr>
          <w:trHeight w:val="288"/>
        </w:trPr>
        <w:tc>
          <w:tcPr>
            <w:tcW w:w="3700" w:type="dxa"/>
            <w:tcBorders>
              <w:top w:val="nil"/>
              <w:left w:val="nil"/>
              <w:bottom w:val="single" w:sz="4" w:space="0" w:color="auto"/>
              <w:right w:val="nil"/>
            </w:tcBorders>
            <w:shd w:val="clear" w:color="auto" w:fill="auto"/>
            <w:noWrap/>
            <w:vAlign w:val="bottom"/>
            <w:hideMark/>
          </w:tcPr>
          <w:p w:rsidR="00534F2A" w:rsidRPr="00D52069" w:rsidRDefault="00534F2A" w:rsidP="00534F2A">
            <w:pPr>
              <w:spacing w:after="0" w:line="240" w:lineRule="auto"/>
              <w:rPr>
                <w:rFonts w:ascii="Calibri" w:eastAsia="Times New Roman" w:hAnsi="Calibri" w:cs="Calibri"/>
                <w:color w:val="000000"/>
                <w:sz w:val="24"/>
                <w:szCs w:val="24"/>
              </w:rPr>
            </w:pPr>
          </w:p>
        </w:tc>
        <w:tc>
          <w:tcPr>
            <w:tcW w:w="236" w:type="dxa"/>
            <w:tcBorders>
              <w:top w:val="nil"/>
              <w:left w:val="nil"/>
              <w:bottom w:val="single" w:sz="4" w:space="0" w:color="auto"/>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827" w:type="dxa"/>
            <w:tcBorders>
              <w:top w:val="nil"/>
              <w:left w:val="single" w:sz="4" w:space="0" w:color="auto"/>
              <w:bottom w:val="single" w:sz="4" w:space="0" w:color="auto"/>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2018</w:t>
            </w:r>
          </w:p>
        </w:tc>
        <w:tc>
          <w:tcPr>
            <w:tcW w:w="275" w:type="dxa"/>
            <w:tcBorders>
              <w:top w:val="nil"/>
              <w:left w:val="nil"/>
              <w:bottom w:val="single" w:sz="4" w:space="0" w:color="auto"/>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685" w:type="dxa"/>
            <w:tcBorders>
              <w:top w:val="nil"/>
              <w:left w:val="single" w:sz="4" w:space="0" w:color="auto"/>
              <w:bottom w:val="single" w:sz="4" w:space="0" w:color="auto"/>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2017</w:t>
            </w:r>
          </w:p>
        </w:tc>
        <w:tc>
          <w:tcPr>
            <w:tcW w:w="250" w:type="dxa"/>
            <w:tcBorders>
              <w:top w:val="nil"/>
              <w:left w:val="nil"/>
              <w:bottom w:val="single" w:sz="4" w:space="0" w:color="auto"/>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709" w:type="dxa"/>
            <w:tcBorders>
              <w:top w:val="nil"/>
              <w:left w:val="single" w:sz="4" w:space="0" w:color="auto"/>
              <w:bottom w:val="single" w:sz="4" w:space="0" w:color="auto"/>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2016</w:t>
            </w:r>
          </w:p>
        </w:tc>
        <w:tc>
          <w:tcPr>
            <w:tcW w:w="301" w:type="dxa"/>
            <w:tcBorders>
              <w:top w:val="nil"/>
              <w:left w:val="nil"/>
              <w:bottom w:val="single" w:sz="4" w:space="0" w:color="auto"/>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663" w:type="dxa"/>
            <w:tcBorders>
              <w:top w:val="nil"/>
              <w:left w:val="single" w:sz="4" w:space="0" w:color="auto"/>
              <w:bottom w:val="single" w:sz="4" w:space="0" w:color="auto"/>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2015</w:t>
            </w:r>
          </w:p>
        </w:tc>
        <w:tc>
          <w:tcPr>
            <w:tcW w:w="236" w:type="dxa"/>
            <w:tcBorders>
              <w:top w:val="nil"/>
              <w:left w:val="nil"/>
              <w:bottom w:val="single" w:sz="4" w:space="0" w:color="auto"/>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797" w:type="dxa"/>
            <w:tcBorders>
              <w:top w:val="nil"/>
              <w:left w:val="single" w:sz="4" w:space="0" w:color="auto"/>
              <w:bottom w:val="single" w:sz="4" w:space="0" w:color="auto"/>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2014</w:t>
            </w:r>
          </w:p>
        </w:tc>
      </w:tr>
      <w:tr w:rsidR="00534F2A" w:rsidRPr="00D52069" w:rsidTr="00534F2A">
        <w:trPr>
          <w:trHeight w:val="288"/>
        </w:trPr>
        <w:tc>
          <w:tcPr>
            <w:tcW w:w="3700" w:type="dxa"/>
            <w:tcBorders>
              <w:top w:val="single" w:sz="4" w:space="0" w:color="auto"/>
              <w:left w:val="nil"/>
              <w:bottom w:val="nil"/>
              <w:right w:val="nil"/>
            </w:tcBorders>
            <w:shd w:val="clear" w:color="auto" w:fill="auto"/>
            <w:noWrap/>
            <w:vAlign w:val="bottom"/>
            <w:hideMark/>
          </w:tcPr>
          <w:p w:rsidR="00534F2A" w:rsidRPr="00D52069" w:rsidRDefault="00534F2A" w:rsidP="00534F2A">
            <w:pPr>
              <w:spacing w:after="0" w:line="240" w:lineRule="auto"/>
              <w:rPr>
                <w:rFonts w:ascii="Calibri" w:eastAsia="Times New Roman" w:hAnsi="Calibri" w:cs="Calibri"/>
                <w:color w:val="000000"/>
                <w:sz w:val="24"/>
                <w:szCs w:val="24"/>
              </w:rPr>
            </w:pPr>
            <w:r w:rsidRPr="00D52069">
              <w:rPr>
                <w:rFonts w:ascii="Calibri" w:eastAsia="Times New Roman" w:hAnsi="Calibri" w:cs="Calibri"/>
                <w:color w:val="000000"/>
                <w:sz w:val="24"/>
                <w:szCs w:val="24"/>
              </w:rPr>
              <w:t>Current Ratio %</w:t>
            </w:r>
          </w:p>
        </w:tc>
        <w:tc>
          <w:tcPr>
            <w:tcW w:w="236" w:type="dxa"/>
            <w:tcBorders>
              <w:top w:val="single" w:sz="4" w:space="0" w:color="auto"/>
              <w:left w:val="nil"/>
              <w:bottom w:val="nil"/>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827" w:type="dxa"/>
            <w:tcBorders>
              <w:top w:val="single" w:sz="4" w:space="0" w:color="auto"/>
              <w:left w:val="single" w:sz="4" w:space="0" w:color="auto"/>
              <w:bottom w:val="nil"/>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1.02</w:t>
            </w:r>
          </w:p>
        </w:tc>
        <w:tc>
          <w:tcPr>
            <w:tcW w:w="275" w:type="dxa"/>
            <w:tcBorders>
              <w:top w:val="single" w:sz="4" w:space="0" w:color="auto"/>
              <w:left w:val="nil"/>
              <w:bottom w:val="nil"/>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685" w:type="dxa"/>
            <w:tcBorders>
              <w:top w:val="single" w:sz="4" w:space="0" w:color="auto"/>
              <w:left w:val="single" w:sz="4" w:space="0" w:color="auto"/>
              <w:bottom w:val="nil"/>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1</w:t>
            </w:r>
          </w:p>
        </w:tc>
        <w:tc>
          <w:tcPr>
            <w:tcW w:w="250" w:type="dxa"/>
            <w:tcBorders>
              <w:top w:val="single" w:sz="4" w:space="0" w:color="auto"/>
              <w:left w:val="nil"/>
              <w:bottom w:val="nil"/>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709" w:type="dxa"/>
            <w:tcBorders>
              <w:top w:val="single" w:sz="4" w:space="0" w:color="auto"/>
              <w:left w:val="single" w:sz="4" w:space="0" w:color="auto"/>
              <w:bottom w:val="nil"/>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1.12</w:t>
            </w:r>
          </w:p>
        </w:tc>
        <w:tc>
          <w:tcPr>
            <w:tcW w:w="301" w:type="dxa"/>
            <w:tcBorders>
              <w:top w:val="single" w:sz="4" w:space="0" w:color="auto"/>
              <w:left w:val="nil"/>
              <w:bottom w:val="nil"/>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663" w:type="dxa"/>
            <w:tcBorders>
              <w:top w:val="single" w:sz="4" w:space="0" w:color="auto"/>
              <w:left w:val="single" w:sz="4" w:space="0" w:color="auto"/>
              <w:bottom w:val="nil"/>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1.07</w:t>
            </w:r>
          </w:p>
        </w:tc>
        <w:tc>
          <w:tcPr>
            <w:tcW w:w="236" w:type="dxa"/>
            <w:tcBorders>
              <w:top w:val="single" w:sz="4" w:space="0" w:color="auto"/>
              <w:left w:val="nil"/>
              <w:bottom w:val="nil"/>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797" w:type="dxa"/>
            <w:tcBorders>
              <w:top w:val="single" w:sz="4" w:space="0" w:color="auto"/>
              <w:left w:val="single" w:sz="4" w:space="0" w:color="auto"/>
              <w:bottom w:val="nil"/>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1.17</w:t>
            </w:r>
          </w:p>
        </w:tc>
      </w:tr>
    </w:tbl>
    <w:p w:rsidR="00534F2A" w:rsidRPr="00D52069" w:rsidRDefault="00534F2A">
      <w:pPr>
        <w:rPr>
          <w:sz w:val="24"/>
          <w:szCs w:val="24"/>
        </w:rPr>
      </w:pPr>
    </w:p>
    <w:p w:rsidR="00804822" w:rsidRPr="00D52069" w:rsidRDefault="00785926">
      <w:pPr>
        <w:rPr>
          <w:sz w:val="24"/>
          <w:szCs w:val="24"/>
        </w:rPr>
      </w:pPr>
      <w:r w:rsidRPr="00D52069">
        <w:rPr>
          <w:sz w:val="24"/>
          <w:szCs w:val="24"/>
        </w:rPr>
        <w:t>Curr</w:t>
      </w:r>
      <w:r w:rsidR="00BF3F8A" w:rsidRPr="00D52069">
        <w:rPr>
          <w:sz w:val="24"/>
          <w:szCs w:val="24"/>
        </w:rPr>
        <w:t>ent ratio shows the relation</w:t>
      </w:r>
      <w:r w:rsidRPr="00D52069">
        <w:rPr>
          <w:sz w:val="24"/>
          <w:szCs w:val="24"/>
        </w:rPr>
        <w:t xml:space="preserve"> between current assets and current liabilities. It measure</w:t>
      </w:r>
      <w:r w:rsidR="00BF3F8A" w:rsidRPr="00D52069">
        <w:rPr>
          <w:sz w:val="24"/>
          <w:szCs w:val="24"/>
        </w:rPr>
        <w:t>s the ability of a company</w:t>
      </w:r>
      <w:r w:rsidRPr="00D52069">
        <w:rPr>
          <w:sz w:val="24"/>
          <w:szCs w:val="24"/>
        </w:rPr>
        <w:t xml:space="preserve"> to meet its current obligation. Ideal Current Ratio is considered to be 2:1. Higher value of current ratio means more liquidity of the firm’s ability to pay current obligations in time.</w:t>
      </w:r>
    </w:p>
    <w:p w:rsidR="00785926" w:rsidRPr="00D52069" w:rsidRDefault="00785926">
      <w:pPr>
        <w:rPr>
          <w:sz w:val="24"/>
          <w:szCs w:val="24"/>
        </w:rPr>
      </w:pPr>
      <w:r w:rsidRPr="00D52069">
        <w:rPr>
          <w:sz w:val="24"/>
          <w:szCs w:val="24"/>
        </w:rPr>
        <w:t>Current Ratio= Current Assets/Current Liabilities</w:t>
      </w:r>
    </w:p>
    <w:p w:rsidR="00785926" w:rsidRPr="00D52069" w:rsidRDefault="00785926" w:rsidP="009577C4">
      <w:pPr>
        <w:jc w:val="both"/>
        <w:rPr>
          <w:sz w:val="24"/>
          <w:szCs w:val="24"/>
        </w:rPr>
      </w:pPr>
      <w:r w:rsidRPr="00D52069">
        <w:rPr>
          <w:b/>
          <w:sz w:val="24"/>
          <w:szCs w:val="24"/>
        </w:rPr>
        <w:lastRenderedPageBreak/>
        <w:t>Interpretation:</w:t>
      </w:r>
      <w:r w:rsidRPr="00D52069">
        <w:rPr>
          <w:sz w:val="24"/>
          <w:szCs w:val="24"/>
        </w:rPr>
        <w:t xml:space="preserve"> </w:t>
      </w:r>
      <w:r w:rsidR="005B5872" w:rsidRPr="00D52069">
        <w:rPr>
          <w:sz w:val="24"/>
          <w:szCs w:val="24"/>
        </w:rPr>
        <w:t>In 2014 quick ratio of Prime Bank was 1.17% which is highest among the five years period and which gave a positive signal for the bank. Later it slightly decreased in 2015 to 1.07% but was able to recover and reached at 1.12% in 2016. In 2018 the quick ratio was 1.02%.</w:t>
      </w:r>
    </w:p>
    <w:p w:rsidR="00A64F3D" w:rsidRPr="00D52069" w:rsidRDefault="00A64F3D" w:rsidP="00534F2A">
      <w:pPr>
        <w:rPr>
          <w:b/>
          <w:sz w:val="24"/>
          <w:szCs w:val="24"/>
        </w:rPr>
      </w:pPr>
    </w:p>
    <w:p w:rsidR="00804822" w:rsidRPr="00D52069" w:rsidRDefault="00127653" w:rsidP="00127653">
      <w:pPr>
        <w:rPr>
          <w:b/>
          <w:sz w:val="24"/>
          <w:szCs w:val="24"/>
        </w:rPr>
      </w:pPr>
      <w:r>
        <w:rPr>
          <w:b/>
          <w:sz w:val="24"/>
          <w:szCs w:val="24"/>
        </w:rPr>
        <w:t xml:space="preserve">(ii) </w:t>
      </w:r>
      <w:r w:rsidR="00804822" w:rsidRPr="00D52069">
        <w:rPr>
          <w:b/>
          <w:sz w:val="24"/>
          <w:szCs w:val="24"/>
        </w:rPr>
        <w:t>Quick Ratio</w:t>
      </w:r>
    </w:p>
    <w:p w:rsidR="00804822" w:rsidRPr="00D52069" w:rsidRDefault="00804822">
      <w:pPr>
        <w:rPr>
          <w:sz w:val="24"/>
          <w:szCs w:val="24"/>
        </w:rPr>
      </w:pPr>
      <w:r w:rsidRPr="00D52069">
        <w:rPr>
          <w:noProof/>
          <w:sz w:val="24"/>
          <w:szCs w:val="24"/>
        </w:rPr>
        <w:drawing>
          <wp:inline distT="0" distB="0" distL="0" distR="0">
            <wp:extent cx="5486400" cy="3200400"/>
            <wp:effectExtent l="19050" t="0" r="1905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bl>
      <w:tblPr>
        <w:tblW w:w="8586" w:type="dxa"/>
        <w:tblInd w:w="95" w:type="dxa"/>
        <w:tblLook w:val="04A0" w:firstRow="1" w:lastRow="0" w:firstColumn="1" w:lastColumn="0" w:noHBand="0" w:noVBand="1"/>
      </w:tblPr>
      <w:tblGrid>
        <w:gridCol w:w="3700"/>
        <w:gridCol w:w="288"/>
        <w:gridCol w:w="703"/>
        <w:gridCol w:w="363"/>
        <w:gridCol w:w="703"/>
        <w:gridCol w:w="326"/>
        <w:gridCol w:w="703"/>
        <w:gridCol w:w="263"/>
        <w:gridCol w:w="703"/>
        <w:gridCol w:w="275"/>
        <w:gridCol w:w="703"/>
      </w:tblGrid>
      <w:tr w:rsidR="00534F2A" w:rsidRPr="00D52069" w:rsidTr="00534F2A">
        <w:trPr>
          <w:trHeight w:val="288"/>
        </w:trPr>
        <w:tc>
          <w:tcPr>
            <w:tcW w:w="3700" w:type="dxa"/>
            <w:tcBorders>
              <w:top w:val="nil"/>
              <w:left w:val="nil"/>
              <w:bottom w:val="single" w:sz="4" w:space="0" w:color="auto"/>
              <w:right w:val="nil"/>
            </w:tcBorders>
            <w:shd w:val="clear" w:color="auto" w:fill="auto"/>
            <w:noWrap/>
            <w:vAlign w:val="bottom"/>
            <w:hideMark/>
          </w:tcPr>
          <w:p w:rsidR="00534F2A" w:rsidRPr="00D52069" w:rsidRDefault="00534F2A" w:rsidP="00534F2A">
            <w:pPr>
              <w:spacing w:after="0" w:line="240" w:lineRule="auto"/>
              <w:rPr>
                <w:rFonts w:ascii="Calibri" w:eastAsia="Times New Roman" w:hAnsi="Calibri" w:cs="Calibri"/>
                <w:color w:val="000000"/>
                <w:sz w:val="24"/>
                <w:szCs w:val="24"/>
              </w:rPr>
            </w:pPr>
          </w:p>
        </w:tc>
        <w:tc>
          <w:tcPr>
            <w:tcW w:w="288" w:type="dxa"/>
            <w:tcBorders>
              <w:top w:val="nil"/>
              <w:left w:val="nil"/>
              <w:bottom w:val="single" w:sz="4" w:space="0" w:color="auto"/>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663" w:type="dxa"/>
            <w:tcBorders>
              <w:top w:val="nil"/>
              <w:left w:val="single" w:sz="4" w:space="0" w:color="auto"/>
              <w:bottom w:val="single" w:sz="4" w:space="0" w:color="auto"/>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2018</w:t>
            </w:r>
          </w:p>
        </w:tc>
        <w:tc>
          <w:tcPr>
            <w:tcW w:w="363" w:type="dxa"/>
            <w:tcBorders>
              <w:top w:val="nil"/>
              <w:left w:val="nil"/>
              <w:bottom w:val="single" w:sz="4" w:space="0" w:color="auto"/>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663" w:type="dxa"/>
            <w:tcBorders>
              <w:top w:val="nil"/>
              <w:left w:val="single" w:sz="4" w:space="0" w:color="auto"/>
              <w:bottom w:val="single" w:sz="4" w:space="0" w:color="auto"/>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2017</w:t>
            </w:r>
          </w:p>
        </w:tc>
        <w:tc>
          <w:tcPr>
            <w:tcW w:w="326" w:type="dxa"/>
            <w:tcBorders>
              <w:top w:val="nil"/>
              <w:left w:val="nil"/>
              <w:bottom w:val="single" w:sz="4" w:space="0" w:color="auto"/>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663" w:type="dxa"/>
            <w:tcBorders>
              <w:top w:val="nil"/>
              <w:left w:val="single" w:sz="4" w:space="0" w:color="auto"/>
              <w:bottom w:val="single" w:sz="4" w:space="0" w:color="auto"/>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2016</w:t>
            </w:r>
          </w:p>
        </w:tc>
        <w:tc>
          <w:tcPr>
            <w:tcW w:w="263" w:type="dxa"/>
            <w:tcBorders>
              <w:top w:val="nil"/>
              <w:left w:val="nil"/>
              <w:bottom w:val="single" w:sz="4" w:space="0" w:color="auto"/>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697" w:type="dxa"/>
            <w:tcBorders>
              <w:top w:val="nil"/>
              <w:left w:val="single" w:sz="4" w:space="0" w:color="auto"/>
              <w:bottom w:val="single" w:sz="4" w:space="0" w:color="auto"/>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2015</w:t>
            </w:r>
          </w:p>
        </w:tc>
        <w:tc>
          <w:tcPr>
            <w:tcW w:w="275" w:type="dxa"/>
            <w:tcBorders>
              <w:top w:val="nil"/>
              <w:left w:val="nil"/>
              <w:bottom w:val="single" w:sz="4" w:space="0" w:color="auto"/>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685" w:type="dxa"/>
            <w:tcBorders>
              <w:top w:val="nil"/>
              <w:left w:val="single" w:sz="4" w:space="0" w:color="auto"/>
              <w:bottom w:val="single" w:sz="4" w:space="0" w:color="auto"/>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2014</w:t>
            </w:r>
          </w:p>
        </w:tc>
      </w:tr>
      <w:tr w:rsidR="00534F2A" w:rsidRPr="00D52069" w:rsidTr="00534F2A">
        <w:trPr>
          <w:trHeight w:val="288"/>
        </w:trPr>
        <w:tc>
          <w:tcPr>
            <w:tcW w:w="3700" w:type="dxa"/>
            <w:tcBorders>
              <w:top w:val="single" w:sz="4" w:space="0" w:color="auto"/>
              <w:left w:val="nil"/>
              <w:bottom w:val="nil"/>
              <w:right w:val="nil"/>
            </w:tcBorders>
            <w:shd w:val="clear" w:color="auto" w:fill="auto"/>
            <w:noWrap/>
            <w:vAlign w:val="bottom"/>
            <w:hideMark/>
          </w:tcPr>
          <w:p w:rsidR="00534F2A" w:rsidRPr="00D52069" w:rsidRDefault="00534F2A" w:rsidP="00534F2A">
            <w:pPr>
              <w:spacing w:after="0" w:line="240" w:lineRule="auto"/>
              <w:rPr>
                <w:rFonts w:ascii="Calibri" w:eastAsia="Times New Roman" w:hAnsi="Calibri" w:cs="Calibri"/>
                <w:b/>
                <w:color w:val="000000"/>
                <w:sz w:val="24"/>
                <w:szCs w:val="24"/>
              </w:rPr>
            </w:pPr>
            <w:r w:rsidRPr="00D52069">
              <w:rPr>
                <w:rFonts w:ascii="Calibri" w:eastAsia="Times New Roman" w:hAnsi="Calibri" w:cs="Calibri"/>
                <w:b/>
                <w:color w:val="000000"/>
                <w:sz w:val="24"/>
                <w:szCs w:val="24"/>
              </w:rPr>
              <w:t>Quick Ratio %</w:t>
            </w:r>
          </w:p>
        </w:tc>
        <w:tc>
          <w:tcPr>
            <w:tcW w:w="288" w:type="dxa"/>
            <w:tcBorders>
              <w:top w:val="single" w:sz="4" w:space="0" w:color="auto"/>
              <w:left w:val="nil"/>
              <w:bottom w:val="nil"/>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663" w:type="dxa"/>
            <w:tcBorders>
              <w:top w:val="single" w:sz="4" w:space="0" w:color="auto"/>
              <w:left w:val="single" w:sz="4" w:space="0" w:color="auto"/>
              <w:bottom w:val="nil"/>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1.02</w:t>
            </w:r>
          </w:p>
        </w:tc>
        <w:tc>
          <w:tcPr>
            <w:tcW w:w="363" w:type="dxa"/>
            <w:tcBorders>
              <w:top w:val="single" w:sz="4" w:space="0" w:color="auto"/>
              <w:left w:val="nil"/>
              <w:bottom w:val="nil"/>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663" w:type="dxa"/>
            <w:tcBorders>
              <w:top w:val="single" w:sz="4" w:space="0" w:color="auto"/>
              <w:left w:val="single" w:sz="4" w:space="0" w:color="auto"/>
              <w:bottom w:val="nil"/>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1</w:t>
            </w:r>
          </w:p>
        </w:tc>
        <w:tc>
          <w:tcPr>
            <w:tcW w:w="326" w:type="dxa"/>
            <w:tcBorders>
              <w:top w:val="single" w:sz="4" w:space="0" w:color="auto"/>
              <w:left w:val="nil"/>
              <w:bottom w:val="nil"/>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663" w:type="dxa"/>
            <w:tcBorders>
              <w:top w:val="single" w:sz="4" w:space="0" w:color="auto"/>
              <w:left w:val="single" w:sz="4" w:space="0" w:color="auto"/>
              <w:bottom w:val="nil"/>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1.12</w:t>
            </w:r>
          </w:p>
        </w:tc>
        <w:tc>
          <w:tcPr>
            <w:tcW w:w="263" w:type="dxa"/>
            <w:tcBorders>
              <w:top w:val="single" w:sz="4" w:space="0" w:color="auto"/>
              <w:left w:val="nil"/>
              <w:bottom w:val="nil"/>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697" w:type="dxa"/>
            <w:tcBorders>
              <w:top w:val="single" w:sz="4" w:space="0" w:color="auto"/>
              <w:left w:val="single" w:sz="4" w:space="0" w:color="auto"/>
              <w:bottom w:val="nil"/>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1.07</w:t>
            </w:r>
          </w:p>
        </w:tc>
        <w:tc>
          <w:tcPr>
            <w:tcW w:w="275" w:type="dxa"/>
            <w:tcBorders>
              <w:top w:val="single" w:sz="4" w:space="0" w:color="auto"/>
              <w:left w:val="nil"/>
              <w:bottom w:val="nil"/>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685" w:type="dxa"/>
            <w:tcBorders>
              <w:top w:val="single" w:sz="4" w:space="0" w:color="auto"/>
              <w:left w:val="single" w:sz="4" w:space="0" w:color="auto"/>
              <w:bottom w:val="nil"/>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1.17</w:t>
            </w:r>
          </w:p>
        </w:tc>
      </w:tr>
    </w:tbl>
    <w:p w:rsidR="00534F2A" w:rsidRPr="00D52069" w:rsidRDefault="00534F2A" w:rsidP="009577C4">
      <w:pPr>
        <w:jc w:val="both"/>
        <w:rPr>
          <w:sz w:val="24"/>
          <w:szCs w:val="24"/>
        </w:rPr>
      </w:pPr>
    </w:p>
    <w:p w:rsidR="00804822" w:rsidRPr="00D52069" w:rsidRDefault="00E12BC5" w:rsidP="009577C4">
      <w:pPr>
        <w:jc w:val="both"/>
        <w:rPr>
          <w:sz w:val="24"/>
          <w:szCs w:val="24"/>
        </w:rPr>
      </w:pPr>
      <w:r w:rsidRPr="00D52069">
        <w:rPr>
          <w:sz w:val="24"/>
          <w:szCs w:val="24"/>
        </w:rPr>
        <w:t xml:space="preserve">Quick ratio also termed as acid test ratio is a supplementary to the current ratio. It </w:t>
      </w:r>
      <w:r w:rsidR="00BF3F8A" w:rsidRPr="00D52069">
        <w:rPr>
          <w:sz w:val="24"/>
          <w:szCs w:val="24"/>
        </w:rPr>
        <w:t>shows</w:t>
      </w:r>
      <w:r w:rsidRPr="00D52069">
        <w:rPr>
          <w:sz w:val="24"/>
          <w:szCs w:val="24"/>
        </w:rPr>
        <w:t xml:space="preserve"> the </w:t>
      </w:r>
      <w:r w:rsidR="00BF3F8A" w:rsidRPr="00D52069">
        <w:rPr>
          <w:sz w:val="24"/>
          <w:szCs w:val="24"/>
        </w:rPr>
        <w:t>connection</w:t>
      </w:r>
      <w:r w:rsidRPr="00D52069">
        <w:rPr>
          <w:sz w:val="24"/>
          <w:szCs w:val="24"/>
        </w:rPr>
        <w:t xml:space="preserve"> between quick assets and current liabilities.</w:t>
      </w:r>
      <w:r w:rsidR="00B74FBF" w:rsidRPr="00D52069">
        <w:rPr>
          <w:sz w:val="24"/>
          <w:szCs w:val="24"/>
        </w:rPr>
        <w:t xml:space="preserve"> Quick asset is total current assets excluding stocks. Quick assets include cash and cash equivalents, receivables and short term investments.</w:t>
      </w:r>
    </w:p>
    <w:p w:rsidR="00E12BC5" w:rsidRPr="00D52069" w:rsidRDefault="00E12BC5" w:rsidP="009577C4">
      <w:pPr>
        <w:jc w:val="both"/>
        <w:rPr>
          <w:sz w:val="24"/>
          <w:szCs w:val="24"/>
        </w:rPr>
      </w:pPr>
      <w:r w:rsidRPr="00D52069">
        <w:rPr>
          <w:sz w:val="24"/>
          <w:szCs w:val="24"/>
        </w:rPr>
        <w:t>Quick asset = quick assets/current liabilities</w:t>
      </w:r>
    </w:p>
    <w:p w:rsidR="00D47478" w:rsidRPr="00D52069" w:rsidRDefault="00D47478" w:rsidP="009577C4">
      <w:pPr>
        <w:jc w:val="both"/>
        <w:rPr>
          <w:sz w:val="24"/>
          <w:szCs w:val="24"/>
        </w:rPr>
      </w:pPr>
      <w:r w:rsidRPr="00D52069">
        <w:rPr>
          <w:b/>
          <w:sz w:val="24"/>
          <w:szCs w:val="24"/>
        </w:rPr>
        <w:t>Interpre</w:t>
      </w:r>
      <w:r w:rsidR="005B5872" w:rsidRPr="00D52069">
        <w:rPr>
          <w:b/>
          <w:sz w:val="24"/>
          <w:szCs w:val="24"/>
        </w:rPr>
        <w:t>tation:</w:t>
      </w:r>
      <w:r w:rsidR="005B5872" w:rsidRPr="00D52069">
        <w:rPr>
          <w:sz w:val="24"/>
          <w:szCs w:val="24"/>
        </w:rPr>
        <w:t xml:space="preserve"> In 2014 quick ratio of Prime B</w:t>
      </w:r>
      <w:r w:rsidRPr="00D52069">
        <w:rPr>
          <w:sz w:val="24"/>
          <w:szCs w:val="24"/>
        </w:rPr>
        <w:t>ank was 1.17% which is highest</w:t>
      </w:r>
      <w:r w:rsidR="005B5872" w:rsidRPr="00D52069">
        <w:rPr>
          <w:sz w:val="24"/>
          <w:szCs w:val="24"/>
        </w:rPr>
        <w:t xml:space="preserve"> among the five years period</w:t>
      </w:r>
      <w:r w:rsidRPr="00D52069">
        <w:rPr>
          <w:sz w:val="24"/>
          <w:szCs w:val="24"/>
        </w:rPr>
        <w:t xml:space="preserve"> and </w:t>
      </w:r>
      <w:r w:rsidR="005B5872" w:rsidRPr="00D52069">
        <w:rPr>
          <w:sz w:val="24"/>
          <w:szCs w:val="24"/>
        </w:rPr>
        <w:t>gave a</w:t>
      </w:r>
      <w:r w:rsidRPr="00D52069">
        <w:rPr>
          <w:sz w:val="24"/>
          <w:szCs w:val="24"/>
        </w:rPr>
        <w:t xml:space="preserve"> positive si</w:t>
      </w:r>
      <w:r w:rsidR="005B5872" w:rsidRPr="00D52069">
        <w:rPr>
          <w:sz w:val="24"/>
          <w:szCs w:val="24"/>
        </w:rPr>
        <w:t>gnal</w:t>
      </w:r>
      <w:r w:rsidRPr="00D52069">
        <w:rPr>
          <w:sz w:val="24"/>
          <w:szCs w:val="24"/>
        </w:rPr>
        <w:t xml:space="preserve"> for the bank.</w:t>
      </w:r>
      <w:r w:rsidR="005B5872" w:rsidRPr="00D52069">
        <w:rPr>
          <w:sz w:val="24"/>
          <w:szCs w:val="24"/>
        </w:rPr>
        <w:t xml:space="preserve"> Later it slightly decreased in 2015 to 1.07% but was able to recover and reached at 1.12% in 2016. In 2018 the quick ratio was 1.02%.</w:t>
      </w:r>
    </w:p>
    <w:p w:rsidR="00A64F3D" w:rsidRDefault="00A64F3D" w:rsidP="009577C4">
      <w:pPr>
        <w:jc w:val="both"/>
        <w:rPr>
          <w:b/>
          <w:sz w:val="24"/>
          <w:szCs w:val="24"/>
        </w:rPr>
      </w:pPr>
    </w:p>
    <w:p w:rsidR="00926F5C" w:rsidRDefault="00926F5C" w:rsidP="00DF4FB3">
      <w:pPr>
        <w:jc w:val="center"/>
        <w:rPr>
          <w:b/>
          <w:sz w:val="24"/>
          <w:szCs w:val="24"/>
        </w:rPr>
      </w:pPr>
    </w:p>
    <w:p w:rsidR="00926F5C" w:rsidRDefault="00926F5C" w:rsidP="00DF4FB3">
      <w:pPr>
        <w:jc w:val="center"/>
        <w:rPr>
          <w:b/>
          <w:sz w:val="24"/>
          <w:szCs w:val="24"/>
        </w:rPr>
      </w:pPr>
    </w:p>
    <w:p w:rsidR="00926F5C" w:rsidRPr="00D52069" w:rsidRDefault="00926F5C" w:rsidP="00DF4FB3">
      <w:pPr>
        <w:jc w:val="center"/>
        <w:rPr>
          <w:b/>
          <w:sz w:val="24"/>
          <w:szCs w:val="24"/>
        </w:rPr>
      </w:pPr>
    </w:p>
    <w:p w:rsidR="00534F2A" w:rsidRPr="00D52069" w:rsidRDefault="00534F2A" w:rsidP="00534F2A">
      <w:pPr>
        <w:rPr>
          <w:b/>
          <w:sz w:val="24"/>
          <w:szCs w:val="24"/>
        </w:rPr>
      </w:pPr>
    </w:p>
    <w:p w:rsidR="00804822" w:rsidRPr="00D52069" w:rsidRDefault="00127653" w:rsidP="00127653">
      <w:pPr>
        <w:rPr>
          <w:b/>
          <w:sz w:val="24"/>
          <w:szCs w:val="24"/>
        </w:rPr>
      </w:pPr>
      <w:r>
        <w:rPr>
          <w:b/>
          <w:sz w:val="24"/>
          <w:szCs w:val="24"/>
        </w:rPr>
        <w:t xml:space="preserve">(iii) </w:t>
      </w:r>
      <w:r w:rsidR="00A61AC7" w:rsidRPr="00D52069">
        <w:rPr>
          <w:b/>
          <w:sz w:val="24"/>
          <w:szCs w:val="24"/>
        </w:rPr>
        <w:t>Cash Reserve Ratio</w:t>
      </w:r>
    </w:p>
    <w:p w:rsidR="00DF4FB3" w:rsidRPr="00D52069" w:rsidRDefault="00DF4FB3" w:rsidP="00DF4FB3">
      <w:pPr>
        <w:jc w:val="center"/>
        <w:rPr>
          <w:b/>
          <w:sz w:val="24"/>
          <w:szCs w:val="24"/>
        </w:rPr>
      </w:pPr>
      <w:r w:rsidRPr="00D52069">
        <w:rPr>
          <w:b/>
          <w:noProof/>
          <w:sz w:val="24"/>
          <w:szCs w:val="24"/>
        </w:rPr>
        <w:drawing>
          <wp:inline distT="0" distB="0" distL="0" distR="0">
            <wp:extent cx="5530960" cy="2671638"/>
            <wp:effectExtent l="19050" t="0" r="1259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bl>
      <w:tblPr>
        <w:tblW w:w="8549" w:type="dxa"/>
        <w:tblInd w:w="95" w:type="dxa"/>
        <w:tblLook w:val="04A0" w:firstRow="1" w:lastRow="0" w:firstColumn="1" w:lastColumn="0" w:noHBand="0" w:noVBand="1"/>
      </w:tblPr>
      <w:tblGrid>
        <w:gridCol w:w="3700"/>
        <w:gridCol w:w="326"/>
        <w:gridCol w:w="703"/>
        <w:gridCol w:w="313"/>
        <w:gridCol w:w="703"/>
        <w:gridCol w:w="301"/>
        <w:gridCol w:w="703"/>
        <w:gridCol w:w="238"/>
        <w:gridCol w:w="703"/>
        <w:gridCol w:w="275"/>
        <w:gridCol w:w="703"/>
      </w:tblGrid>
      <w:tr w:rsidR="00534F2A" w:rsidRPr="00D52069" w:rsidTr="00534F2A">
        <w:trPr>
          <w:trHeight w:val="288"/>
        </w:trPr>
        <w:tc>
          <w:tcPr>
            <w:tcW w:w="3700" w:type="dxa"/>
            <w:tcBorders>
              <w:top w:val="nil"/>
              <w:left w:val="nil"/>
              <w:bottom w:val="single" w:sz="4" w:space="0" w:color="auto"/>
              <w:right w:val="nil"/>
            </w:tcBorders>
            <w:shd w:val="clear" w:color="auto" w:fill="auto"/>
            <w:noWrap/>
            <w:vAlign w:val="bottom"/>
            <w:hideMark/>
          </w:tcPr>
          <w:p w:rsidR="00534F2A" w:rsidRPr="00D52069" w:rsidRDefault="00534F2A" w:rsidP="00534F2A">
            <w:pPr>
              <w:spacing w:after="0" w:line="240" w:lineRule="auto"/>
              <w:rPr>
                <w:rFonts w:ascii="Calibri" w:eastAsia="Times New Roman" w:hAnsi="Calibri" w:cs="Calibri"/>
                <w:color w:val="000000"/>
                <w:sz w:val="24"/>
                <w:szCs w:val="24"/>
              </w:rPr>
            </w:pPr>
          </w:p>
        </w:tc>
        <w:tc>
          <w:tcPr>
            <w:tcW w:w="326" w:type="dxa"/>
            <w:tcBorders>
              <w:top w:val="nil"/>
              <w:left w:val="nil"/>
              <w:bottom w:val="single" w:sz="4" w:space="0" w:color="auto"/>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663" w:type="dxa"/>
            <w:tcBorders>
              <w:top w:val="nil"/>
              <w:left w:val="single" w:sz="4" w:space="0" w:color="auto"/>
              <w:bottom w:val="single" w:sz="4" w:space="0" w:color="auto"/>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2018</w:t>
            </w:r>
          </w:p>
        </w:tc>
        <w:tc>
          <w:tcPr>
            <w:tcW w:w="313" w:type="dxa"/>
            <w:tcBorders>
              <w:top w:val="nil"/>
              <w:left w:val="nil"/>
              <w:bottom w:val="single" w:sz="4" w:space="0" w:color="auto"/>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663" w:type="dxa"/>
            <w:tcBorders>
              <w:top w:val="nil"/>
              <w:left w:val="single" w:sz="4" w:space="0" w:color="auto"/>
              <w:bottom w:val="single" w:sz="4" w:space="0" w:color="auto"/>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2017</w:t>
            </w:r>
          </w:p>
        </w:tc>
        <w:tc>
          <w:tcPr>
            <w:tcW w:w="301" w:type="dxa"/>
            <w:tcBorders>
              <w:top w:val="nil"/>
              <w:left w:val="nil"/>
              <w:bottom w:val="single" w:sz="4" w:space="0" w:color="auto"/>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663" w:type="dxa"/>
            <w:tcBorders>
              <w:top w:val="nil"/>
              <w:left w:val="single" w:sz="4" w:space="0" w:color="auto"/>
              <w:bottom w:val="single" w:sz="4" w:space="0" w:color="auto"/>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2016</w:t>
            </w:r>
          </w:p>
        </w:tc>
        <w:tc>
          <w:tcPr>
            <w:tcW w:w="238" w:type="dxa"/>
            <w:tcBorders>
              <w:top w:val="nil"/>
              <w:left w:val="nil"/>
              <w:bottom w:val="single" w:sz="4" w:space="0" w:color="auto"/>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722" w:type="dxa"/>
            <w:tcBorders>
              <w:top w:val="nil"/>
              <w:left w:val="single" w:sz="4" w:space="0" w:color="auto"/>
              <w:bottom w:val="single" w:sz="4" w:space="0" w:color="auto"/>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2015</w:t>
            </w:r>
          </w:p>
        </w:tc>
        <w:tc>
          <w:tcPr>
            <w:tcW w:w="275" w:type="dxa"/>
            <w:tcBorders>
              <w:top w:val="nil"/>
              <w:left w:val="nil"/>
              <w:bottom w:val="single" w:sz="4" w:space="0" w:color="auto"/>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685" w:type="dxa"/>
            <w:tcBorders>
              <w:top w:val="nil"/>
              <w:left w:val="single" w:sz="4" w:space="0" w:color="auto"/>
              <w:bottom w:val="single" w:sz="4" w:space="0" w:color="auto"/>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2014</w:t>
            </w:r>
          </w:p>
        </w:tc>
      </w:tr>
      <w:tr w:rsidR="00534F2A" w:rsidRPr="00D52069" w:rsidTr="00534F2A">
        <w:trPr>
          <w:trHeight w:val="288"/>
        </w:trPr>
        <w:tc>
          <w:tcPr>
            <w:tcW w:w="3700" w:type="dxa"/>
            <w:tcBorders>
              <w:top w:val="single" w:sz="4" w:space="0" w:color="auto"/>
              <w:left w:val="nil"/>
              <w:bottom w:val="nil"/>
              <w:right w:val="nil"/>
            </w:tcBorders>
            <w:shd w:val="clear" w:color="auto" w:fill="auto"/>
            <w:noWrap/>
            <w:vAlign w:val="bottom"/>
            <w:hideMark/>
          </w:tcPr>
          <w:p w:rsidR="00534F2A" w:rsidRPr="00D52069" w:rsidRDefault="00534F2A" w:rsidP="00534F2A">
            <w:pPr>
              <w:spacing w:after="0" w:line="240" w:lineRule="auto"/>
              <w:rPr>
                <w:rFonts w:ascii="Calibri" w:eastAsia="Times New Roman" w:hAnsi="Calibri" w:cs="Calibri"/>
                <w:b/>
                <w:color w:val="000000"/>
                <w:sz w:val="24"/>
                <w:szCs w:val="24"/>
              </w:rPr>
            </w:pPr>
            <w:r w:rsidRPr="00D52069">
              <w:rPr>
                <w:rFonts w:ascii="Calibri" w:eastAsia="Times New Roman" w:hAnsi="Calibri" w:cs="Calibri"/>
                <w:b/>
                <w:color w:val="000000"/>
                <w:sz w:val="24"/>
                <w:szCs w:val="24"/>
              </w:rPr>
              <w:t>Cash Reserve Ratio</w:t>
            </w:r>
            <w:r w:rsidR="00E94BB0" w:rsidRPr="00D52069">
              <w:rPr>
                <w:rFonts w:ascii="Calibri" w:eastAsia="Times New Roman" w:hAnsi="Calibri" w:cs="Calibri"/>
                <w:b/>
                <w:color w:val="000000"/>
                <w:sz w:val="24"/>
                <w:szCs w:val="24"/>
              </w:rPr>
              <w:t xml:space="preserve"> %</w:t>
            </w:r>
          </w:p>
        </w:tc>
        <w:tc>
          <w:tcPr>
            <w:tcW w:w="326" w:type="dxa"/>
            <w:tcBorders>
              <w:top w:val="single" w:sz="4" w:space="0" w:color="auto"/>
              <w:left w:val="nil"/>
              <w:bottom w:val="nil"/>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663" w:type="dxa"/>
            <w:tcBorders>
              <w:top w:val="single" w:sz="4" w:space="0" w:color="auto"/>
              <w:left w:val="single" w:sz="4" w:space="0" w:color="auto"/>
              <w:bottom w:val="nil"/>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5.72</w:t>
            </w:r>
          </w:p>
        </w:tc>
        <w:tc>
          <w:tcPr>
            <w:tcW w:w="313" w:type="dxa"/>
            <w:tcBorders>
              <w:top w:val="single" w:sz="4" w:space="0" w:color="auto"/>
              <w:left w:val="nil"/>
              <w:bottom w:val="nil"/>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663" w:type="dxa"/>
            <w:tcBorders>
              <w:top w:val="single" w:sz="4" w:space="0" w:color="auto"/>
              <w:left w:val="single" w:sz="4" w:space="0" w:color="auto"/>
              <w:bottom w:val="nil"/>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6.76</w:t>
            </w:r>
          </w:p>
        </w:tc>
        <w:tc>
          <w:tcPr>
            <w:tcW w:w="301" w:type="dxa"/>
            <w:tcBorders>
              <w:top w:val="single" w:sz="4" w:space="0" w:color="auto"/>
              <w:left w:val="nil"/>
              <w:bottom w:val="nil"/>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663" w:type="dxa"/>
            <w:tcBorders>
              <w:top w:val="single" w:sz="4" w:space="0" w:color="auto"/>
              <w:left w:val="single" w:sz="4" w:space="0" w:color="auto"/>
              <w:bottom w:val="nil"/>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6.65</w:t>
            </w:r>
          </w:p>
        </w:tc>
        <w:tc>
          <w:tcPr>
            <w:tcW w:w="238" w:type="dxa"/>
            <w:tcBorders>
              <w:top w:val="single" w:sz="4" w:space="0" w:color="auto"/>
              <w:left w:val="nil"/>
              <w:bottom w:val="nil"/>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722" w:type="dxa"/>
            <w:tcBorders>
              <w:top w:val="single" w:sz="4" w:space="0" w:color="auto"/>
              <w:left w:val="single" w:sz="4" w:space="0" w:color="auto"/>
              <w:bottom w:val="nil"/>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7.04</w:t>
            </w:r>
          </w:p>
        </w:tc>
        <w:tc>
          <w:tcPr>
            <w:tcW w:w="275" w:type="dxa"/>
            <w:tcBorders>
              <w:top w:val="single" w:sz="4" w:space="0" w:color="auto"/>
              <w:left w:val="nil"/>
              <w:bottom w:val="nil"/>
              <w:right w:val="single" w:sz="4" w:space="0" w:color="auto"/>
            </w:tcBorders>
            <w:shd w:val="clear" w:color="auto" w:fill="auto"/>
            <w:noWrap/>
            <w:vAlign w:val="bottom"/>
            <w:hideMark/>
          </w:tcPr>
          <w:p w:rsidR="00534F2A" w:rsidRPr="00D52069" w:rsidRDefault="00534F2A" w:rsidP="00534F2A">
            <w:pPr>
              <w:spacing w:after="0" w:line="240" w:lineRule="auto"/>
              <w:jc w:val="right"/>
              <w:rPr>
                <w:rFonts w:ascii="Calibri" w:eastAsia="Times New Roman" w:hAnsi="Calibri" w:cs="Calibri"/>
                <w:b/>
                <w:bCs/>
                <w:color w:val="000000"/>
                <w:sz w:val="24"/>
                <w:szCs w:val="24"/>
              </w:rPr>
            </w:pPr>
          </w:p>
        </w:tc>
        <w:tc>
          <w:tcPr>
            <w:tcW w:w="685" w:type="dxa"/>
            <w:tcBorders>
              <w:top w:val="single" w:sz="4" w:space="0" w:color="auto"/>
              <w:left w:val="single" w:sz="4" w:space="0" w:color="auto"/>
              <w:bottom w:val="nil"/>
              <w:right w:val="nil"/>
            </w:tcBorders>
            <w:shd w:val="clear" w:color="auto" w:fill="auto"/>
            <w:vAlign w:val="bottom"/>
          </w:tcPr>
          <w:p w:rsidR="00534F2A" w:rsidRPr="00D52069" w:rsidRDefault="00534F2A" w:rsidP="00534F2A">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6.71</w:t>
            </w:r>
          </w:p>
        </w:tc>
      </w:tr>
    </w:tbl>
    <w:p w:rsidR="00534F2A" w:rsidRPr="00D52069" w:rsidRDefault="00534F2A" w:rsidP="009577C4">
      <w:pPr>
        <w:jc w:val="both"/>
        <w:rPr>
          <w:b/>
          <w:sz w:val="24"/>
          <w:szCs w:val="24"/>
        </w:rPr>
      </w:pPr>
    </w:p>
    <w:p w:rsidR="001858A5" w:rsidRPr="00D52069" w:rsidRDefault="005320B6" w:rsidP="009577C4">
      <w:pPr>
        <w:jc w:val="both"/>
        <w:rPr>
          <w:sz w:val="24"/>
          <w:szCs w:val="24"/>
        </w:rPr>
      </w:pPr>
      <w:r w:rsidRPr="00D52069">
        <w:rPr>
          <w:sz w:val="24"/>
          <w:szCs w:val="24"/>
        </w:rPr>
        <w:t xml:space="preserve">Cash Reserve Ratio is grossly used as benchmark parameter of measuring bank’s liquidity. </w:t>
      </w:r>
      <w:r w:rsidR="00D77003" w:rsidRPr="00D52069">
        <w:rPr>
          <w:sz w:val="24"/>
          <w:szCs w:val="24"/>
        </w:rPr>
        <w:t xml:space="preserve">CRR </w:t>
      </w:r>
      <w:r w:rsidR="00F04519" w:rsidRPr="00D52069">
        <w:rPr>
          <w:sz w:val="24"/>
          <w:szCs w:val="24"/>
        </w:rPr>
        <w:t>is a specified minimum fraction</w:t>
      </w:r>
      <w:r w:rsidR="00D77003" w:rsidRPr="00D52069">
        <w:rPr>
          <w:sz w:val="24"/>
          <w:szCs w:val="24"/>
        </w:rPr>
        <w:t xml:space="preserve"> of the total deposits of customers which commercial banks have to hold as reserves either in cash or as deposits with the central bank. </w:t>
      </w:r>
      <w:r w:rsidR="00F04519" w:rsidRPr="00D52069">
        <w:rPr>
          <w:sz w:val="24"/>
          <w:szCs w:val="24"/>
        </w:rPr>
        <w:t xml:space="preserve">According to Bangladesh Bank (BB) order, the current provision of CRR requirement is 5.5% of respective total demand and time liabilities. At present Banks are allowed to maintain CRR with local currency. </w:t>
      </w:r>
      <w:r w:rsidRPr="00D52069">
        <w:rPr>
          <w:sz w:val="24"/>
          <w:szCs w:val="24"/>
        </w:rPr>
        <w:t xml:space="preserve">Over the year Bangladesh Bank has taken different </w:t>
      </w:r>
      <w:r w:rsidR="00EF4CCE" w:rsidRPr="00D52069">
        <w:rPr>
          <w:sz w:val="24"/>
          <w:szCs w:val="24"/>
        </w:rPr>
        <w:t>strategies</w:t>
      </w:r>
      <w:r w:rsidRPr="00D52069">
        <w:rPr>
          <w:sz w:val="24"/>
          <w:szCs w:val="24"/>
        </w:rPr>
        <w:t xml:space="preserve"> to reduce CRR </w:t>
      </w:r>
      <w:r w:rsidR="00D77003" w:rsidRPr="00D52069">
        <w:rPr>
          <w:sz w:val="24"/>
          <w:szCs w:val="24"/>
        </w:rPr>
        <w:t>requirement</w:t>
      </w:r>
      <w:r w:rsidRPr="00D52069">
        <w:rPr>
          <w:sz w:val="24"/>
          <w:szCs w:val="24"/>
        </w:rPr>
        <w:t xml:space="preserve"> to cope up with the liquidity crisis.</w:t>
      </w:r>
      <w:r w:rsidR="00D77003" w:rsidRPr="00D52069">
        <w:rPr>
          <w:sz w:val="24"/>
          <w:szCs w:val="24"/>
        </w:rPr>
        <w:t xml:space="preserve"> </w:t>
      </w:r>
    </w:p>
    <w:p w:rsidR="00D77003" w:rsidRPr="00D52069" w:rsidRDefault="00866C8E" w:rsidP="009577C4">
      <w:pPr>
        <w:jc w:val="both"/>
        <w:rPr>
          <w:sz w:val="24"/>
          <w:szCs w:val="24"/>
        </w:rPr>
      </w:pPr>
      <w:r w:rsidRPr="00D52069">
        <w:rPr>
          <w:sz w:val="24"/>
          <w:szCs w:val="24"/>
        </w:rPr>
        <w:t xml:space="preserve">CRR = </w:t>
      </w:r>
      <w:r w:rsidR="00D77003" w:rsidRPr="00D52069">
        <w:rPr>
          <w:sz w:val="24"/>
          <w:szCs w:val="24"/>
        </w:rPr>
        <w:t>Reserve maintained with central bank/Bank deposits</w:t>
      </w:r>
    </w:p>
    <w:p w:rsidR="00866C8E" w:rsidRPr="00D52069" w:rsidRDefault="00D77003" w:rsidP="009577C4">
      <w:pPr>
        <w:jc w:val="both"/>
        <w:rPr>
          <w:sz w:val="24"/>
          <w:szCs w:val="24"/>
        </w:rPr>
      </w:pPr>
      <w:r w:rsidRPr="00D52069">
        <w:rPr>
          <w:b/>
          <w:sz w:val="24"/>
          <w:szCs w:val="24"/>
        </w:rPr>
        <w:t>Interpretation:</w:t>
      </w:r>
      <w:r w:rsidRPr="00D52069">
        <w:rPr>
          <w:sz w:val="24"/>
          <w:szCs w:val="24"/>
        </w:rPr>
        <w:t xml:space="preserve"> </w:t>
      </w:r>
      <w:r w:rsidR="00F04519" w:rsidRPr="00D52069">
        <w:rPr>
          <w:sz w:val="24"/>
          <w:szCs w:val="24"/>
        </w:rPr>
        <w:t>PBL was able to bring CRR to 5.72% in 2018 from 6.71% in 2014</w:t>
      </w:r>
      <w:r w:rsidR="00866C8E" w:rsidRPr="00D52069">
        <w:rPr>
          <w:sz w:val="24"/>
          <w:szCs w:val="24"/>
        </w:rPr>
        <w:t xml:space="preserve"> which is a positive situation for the bank. The higher the CRR, the lesser the amount of money available to banks for lending and investing. Similarly the lower the CRR, the more amount of money is available for lending and investing.</w:t>
      </w:r>
    </w:p>
    <w:p w:rsidR="00A64F3D" w:rsidRPr="00D52069" w:rsidRDefault="00A64F3D" w:rsidP="009577C4">
      <w:pPr>
        <w:jc w:val="both"/>
        <w:rPr>
          <w:b/>
          <w:sz w:val="24"/>
          <w:szCs w:val="24"/>
        </w:rPr>
      </w:pPr>
    </w:p>
    <w:p w:rsidR="00926F5C" w:rsidRPr="00D52069" w:rsidRDefault="00926F5C" w:rsidP="00534F2A">
      <w:pPr>
        <w:rPr>
          <w:b/>
          <w:sz w:val="24"/>
          <w:szCs w:val="24"/>
        </w:rPr>
      </w:pPr>
    </w:p>
    <w:p w:rsidR="00460AE0" w:rsidRDefault="00460AE0" w:rsidP="00127653">
      <w:pPr>
        <w:rPr>
          <w:b/>
          <w:sz w:val="24"/>
          <w:szCs w:val="24"/>
        </w:rPr>
      </w:pPr>
    </w:p>
    <w:p w:rsidR="00460AE0" w:rsidRDefault="00460AE0" w:rsidP="00127653">
      <w:pPr>
        <w:rPr>
          <w:b/>
          <w:sz w:val="24"/>
          <w:szCs w:val="24"/>
        </w:rPr>
      </w:pPr>
    </w:p>
    <w:p w:rsidR="00A64F3D" w:rsidRPr="00BA4CF1" w:rsidRDefault="00127653" w:rsidP="00127653">
      <w:pPr>
        <w:rPr>
          <w:b/>
          <w:sz w:val="24"/>
          <w:szCs w:val="24"/>
        </w:rPr>
      </w:pPr>
      <w:proofErr w:type="gramStart"/>
      <w:r>
        <w:rPr>
          <w:b/>
          <w:sz w:val="24"/>
          <w:szCs w:val="24"/>
        </w:rPr>
        <w:t>(iv)</w:t>
      </w:r>
      <w:r w:rsidR="007758D0">
        <w:rPr>
          <w:b/>
          <w:sz w:val="24"/>
          <w:szCs w:val="24"/>
        </w:rPr>
        <w:t xml:space="preserve"> </w:t>
      </w:r>
      <w:r>
        <w:rPr>
          <w:b/>
          <w:sz w:val="24"/>
          <w:szCs w:val="24"/>
        </w:rPr>
        <w:t xml:space="preserve"> </w:t>
      </w:r>
      <w:r w:rsidR="00A64F3D" w:rsidRPr="00D52069">
        <w:rPr>
          <w:b/>
          <w:sz w:val="24"/>
          <w:szCs w:val="24"/>
        </w:rPr>
        <w:t>Statutory</w:t>
      </w:r>
      <w:proofErr w:type="gramEnd"/>
      <w:r w:rsidR="00A64F3D" w:rsidRPr="00D52069">
        <w:rPr>
          <w:b/>
          <w:sz w:val="24"/>
          <w:szCs w:val="24"/>
        </w:rPr>
        <w:t xml:space="preserve"> Liquidity Ratio</w:t>
      </w:r>
      <w:r w:rsidR="0014176F" w:rsidRPr="00D52069">
        <w:rPr>
          <w:b/>
          <w:sz w:val="24"/>
          <w:szCs w:val="24"/>
        </w:rPr>
        <w:t xml:space="preserve"> (SLR)</w:t>
      </w:r>
    </w:p>
    <w:p w:rsidR="00A64F3D" w:rsidRPr="00D52069" w:rsidRDefault="00A64F3D" w:rsidP="00DF4FB3">
      <w:pPr>
        <w:jc w:val="center"/>
        <w:rPr>
          <w:b/>
          <w:sz w:val="24"/>
          <w:szCs w:val="24"/>
        </w:rPr>
      </w:pPr>
      <w:r w:rsidRPr="00D52069">
        <w:rPr>
          <w:b/>
          <w:noProof/>
          <w:sz w:val="24"/>
          <w:szCs w:val="24"/>
        </w:rPr>
        <w:drawing>
          <wp:inline distT="0" distB="0" distL="0" distR="0">
            <wp:extent cx="5488056" cy="2957885"/>
            <wp:effectExtent l="19050" t="0" r="17394"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bl>
      <w:tblPr>
        <w:tblW w:w="8745" w:type="dxa"/>
        <w:tblInd w:w="95" w:type="dxa"/>
        <w:tblLook w:val="04A0" w:firstRow="1" w:lastRow="0" w:firstColumn="1" w:lastColumn="0" w:noHBand="0" w:noVBand="1"/>
      </w:tblPr>
      <w:tblGrid>
        <w:gridCol w:w="3700"/>
        <w:gridCol w:w="351"/>
        <w:gridCol w:w="767"/>
        <w:gridCol w:w="263"/>
        <w:gridCol w:w="767"/>
        <w:gridCol w:w="236"/>
        <w:gridCol w:w="767"/>
        <w:gridCol w:w="236"/>
        <w:gridCol w:w="767"/>
        <w:gridCol w:w="238"/>
        <w:gridCol w:w="767"/>
      </w:tblGrid>
      <w:tr w:rsidR="002849DD" w:rsidRPr="00D52069" w:rsidTr="002849DD">
        <w:trPr>
          <w:trHeight w:val="288"/>
        </w:trPr>
        <w:tc>
          <w:tcPr>
            <w:tcW w:w="3700" w:type="dxa"/>
            <w:tcBorders>
              <w:top w:val="nil"/>
              <w:left w:val="nil"/>
              <w:bottom w:val="single" w:sz="4" w:space="0" w:color="auto"/>
              <w:right w:val="nil"/>
            </w:tcBorders>
            <w:shd w:val="clear" w:color="auto" w:fill="auto"/>
            <w:noWrap/>
            <w:vAlign w:val="bottom"/>
            <w:hideMark/>
          </w:tcPr>
          <w:p w:rsidR="002849DD" w:rsidRPr="00D52069" w:rsidRDefault="002849DD" w:rsidP="002849DD">
            <w:pPr>
              <w:spacing w:after="0" w:line="240" w:lineRule="auto"/>
              <w:rPr>
                <w:rFonts w:ascii="Calibri" w:eastAsia="Times New Roman" w:hAnsi="Calibri" w:cs="Calibri"/>
                <w:color w:val="000000"/>
                <w:sz w:val="24"/>
                <w:szCs w:val="24"/>
              </w:rPr>
            </w:pPr>
          </w:p>
        </w:tc>
        <w:tc>
          <w:tcPr>
            <w:tcW w:w="351"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21"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2018</w:t>
            </w:r>
          </w:p>
        </w:tc>
        <w:tc>
          <w:tcPr>
            <w:tcW w:w="263"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21"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2017</w:t>
            </w:r>
          </w:p>
        </w:tc>
        <w:tc>
          <w:tcPr>
            <w:tcW w:w="236"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47"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2016</w:t>
            </w:r>
          </w:p>
        </w:tc>
        <w:tc>
          <w:tcPr>
            <w:tcW w:w="236"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810"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2015</w:t>
            </w:r>
          </w:p>
        </w:tc>
        <w:tc>
          <w:tcPr>
            <w:tcW w:w="238"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22"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2014</w:t>
            </w:r>
          </w:p>
        </w:tc>
      </w:tr>
      <w:tr w:rsidR="002849DD" w:rsidRPr="00D52069" w:rsidTr="002849DD">
        <w:trPr>
          <w:trHeight w:val="288"/>
        </w:trPr>
        <w:tc>
          <w:tcPr>
            <w:tcW w:w="3700" w:type="dxa"/>
            <w:tcBorders>
              <w:top w:val="single" w:sz="4" w:space="0" w:color="auto"/>
              <w:left w:val="nil"/>
              <w:bottom w:val="nil"/>
              <w:right w:val="nil"/>
            </w:tcBorders>
            <w:shd w:val="clear" w:color="auto" w:fill="auto"/>
            <w:noWrap/>
            <w:vAlign w:val="bottom"/>
            <w:hideMark/>
          </w:tcPr>
          <w:p w:rsidR="002849DD" w:rsidRPr="00D52069" w:rsidRDefault="002849DD" w:rsidP="002849DD">
            <w:pPr>
              <w:spacing w:after="0" w:line="240" w:lineRule="auto"/>
              <w:rPr>
                <w:rFonts w:ascii="Calibri" w:eastAsia="Times New Roman" w:hAnsi="Calibri" w:cs="Calibri"/>
                <w:color w:val="000000"/>
                <w:sz w:val="24"/>
                <w:szCs w:val="24"/>
              </w:rPr>
            </w:pPr>
            <w:r w:rsidRPr="00D52069">
              <w:rPr>
                <w:rFonts w:ascii="Calibri" w:eastAsia="Times New Roman" w:hAnsi="Calibri" w:cs="Calibri"/>
                <w:color w:val="000000"/>
                <w:sz w:val="24"/>
                <w:szCs w:val="24"/>
              </w:rPr>
              <w:t>Statutory liquidity Ratios (SLR) %</w:t>
            </w:r>
          </w:p>
        </w:tc>
        <w:tc>
          <w:tcPr>
            <w:tcW w:w="351"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21"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15.28</w:t>
            </w:r>
          </w:p>
        </w:tc>
        <w:tc>
          <w:tcPr>
            <w:tcW w:w="263"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21"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14.96</w:t>
            </w:r>
          </w:p>
        </w:tc>
        <w:tc>
          <w:tcPr>
            <w:tcW w:w="236"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47"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28.04</w:t>
            </w:r>
          </w:p>
        </w:tc>
        <w:tc>
          <w:tcPr>
            <w:tcW w:w="236"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810"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33.18</w:t>
            </w:r>
          </w:p>
        </w:tc>
        <w:tc>
          <w:tcPr>
            <w:tcW w:w="238"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22"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29.83</w:t>
            </w:r>
          </w:p>
        </w:tc>
      </w:tr>
    </w:tbl>
    <w:p w:rsidR="002849DD" w:rsidRPr="00D52069" w:rsidRDefault="002849DD" w:rsidP="009577C4">
      <w:pPr>
        <w:jc w:val="both"/>
        <w:rPr>
          <w:b/>
          <w:sz w:val="24"/>
          <w:szCs w:val="24"/>
        </w:rPr>
      </w:pPr>
    </w:p>
    <w:p w:rsidR="006F6D55" w:rsidRPr="00D52069" w:rsidRDefault="00DF4FB3" w:rsidP="009577C4">
      <w:pPr>
        <w:jc w:val="both"/>
        <w:rPr>
          <w:sz w:val="24"/>
          <w:szCs w:val="24"/>
        </w:rPr>
      </w:pPr>
      <w:r w:rsidRPr="00D52069">
        <w:rPr>
          <w:sz w:val="24"/>
          <w:szCs w:val="24"/>
        </w:rPr>
        <w:t>Statutory Liquidity Ratio</w:t>
      </w:r>
      <w:r w:rsidR="00EF4CCE" w:rsidRPr="00D52069">
        <w:rPr>
          <w:sz w:val="24"/>
          <w:szCs w:val="24"/>
        </w:rPr>
        <w:t xml:space="preserve"> (SLR)</w:t>
      </w:r>
      <w:r w:rsidRPr="00D52069">
        <w:rPr>
          <w:sz w:val="24"/>
          <w:szCs w:val="24"/>
        </w:rPr>
        <w:t xml:space="preserve"> is the</w:t>
      </w:r>
      <w:r w:rsidR="00BF3F8A" w:rsidRPr="00D52069">
        <w:rPr>
          <w:sz w:val="24"/>
          <w:szCs w:val="24"/>
        </w:rPr>
        <w:t xml:space="preserve"> required</w:t>
      </w:r>
      <w:r w:rsidRPr="00D52069">
        <w:rPr>
          <w:sz w:val="24"/>
          <w:szCs w:val="24"/>
        </w:rPr>
        <w:t xml:space="preserve"> amount of the deposits banks maintain in the form of liquidity in addition to cash reserve ratio</w:t>
      </w:r>
      <w:r w:rsidR="00BF3F8A" w:rsidRPr="00D52069">
        <w:rPr>
          <w:sz w:val="24"/>
          <w:szCs w:val="24"/>
        </w:rPr>
        <w:t xml:space="preserve"> (CRR)</w:t>
      </w:r>
      <w:r w:rsidR="009577C4">
        <w:rPr>
          <w:sz w:val="24"/>
          <w:szCs w:val="24"/>
        </w:rPr>
        <w:t xml:space="preserve">. </w:t>
      </w:r>
      <w:r w:rsidR="00BF3F8A" w:rsidRPr="00D52069">
        <w:rPr>
          <w:sz w:val="24"/>
          <w:szCs w:val="24"/>
        </w:rPr>
        <w:t>Through the years</w:t>
      </w:r>
      <w:r w:rsidR="005320B6" w:rsidRPr="00D52069">
        <w:rPr>
          <w:sz w:val="24"/>
          <w:szCs w:val="24"/>
        </w:rPr>
        <w:t xml:space="preserve"> Bangladesh B</w:t>
      </w:r>
      <w:r w:rsidR="00A07FDA" w:rsidRPr="00D52069">
        <w:rPr>
          <w:sz w:val="24"/>
          <w:szCs w:val="24"/>
        </w:rPr>
        <w:t xml:space="preserve">ank has taken different </w:t>
      </w:r>
      <w:r w:rsidR="00BF3F8A" w:rsidRPr="00D52069">
        <w:rPr>
          <w:sz w:val="24"/>
          <w:szCs w:val="24"/>
        </w:rPr>
        <w:t>measures</w:t>
      </w:r>
      <w:r w:rsidR="00A07FDA" w:rsidRPr="00D52069">
        <w:rPr>
          <w:sz w:val="24"/>
          <w:szCs w:val="24"/>
        </w:rPr>
        <w:t xml:space="preserve"> such as to reduce the SLR </w:t>
      </w:r>
      <w:r w:rsidR="005320B6" w:rsidRPr="00D52069">
        <w:rPr>
          <w:sz w:val="24"/>
          <w:szCs w:val="24"/>
        </w:rPr>
        <w:t>requirement</w:t>
      </w:r>
      <w:r w:rsidR="00A07FDA" w:rsidRPr="00D52069">
        <w:rPr>
          <w:sz w:val="24"/>
          <w:szCs w:val="24"/>
        </w:rPr>
        <w:t xml:space="preserve"> to cope up with the liquidity crisis. </w:t>
      </w:r>
      <w:r w:rsidR="001858A5" w:rsidRPr="00D52069">
        <w:rPr>
          <w:sz w:val="24"/>
          <w:szCs w:val="24"/>
        </w:rPr>
        <w:t xml:space="preserve">At present the required SLR is 13 % for conventional Banks and 5.5 % daily for Islamic </w:t>
      </w:r>
      <w:proofErr w:type="spellStart"/>
      <w:r w:rsidR="001858A5" w:rsidRPr="00D52069">
        <w:rPr>
          <w:sz w:val="24"/>
          <w:szCs w:val="24"/>
        </w:rPr>
        <w:t>Shari’ah</w:t>
      </w:r>
      <w:proofErr w:type="spellEnd"/>
      <w:r w:rsidR="001858A5" w:rsidRPr="00D52069">
        <w:rPr>
          <w:sz w:val="24"/>
          <w:szCs w:val="24"/>
        </w:rPr>
        <w:t xml:space="preserve"> based Banks</w:t>
      </w:r>
      <w:r w:rsidR="00866C8E" w:rsidRPr="00D52069">
        <w:rPr>
          <w:sz w:val="24"/>
          <w:szCs w:val="24"/>
        </w:rPr>
        <w:t>.</w:t>
      </w:r>
    </w:p>
    <w:p w:rsidR="00CC5F22" w:rsidRPr="00CB4544" w:rsidRDefault="00A07FDA" w:rsidP="009577C4">
      <w:pPr>
        <w:jc w:val="both"/>
        <w:rPr>
          <w:sz w:val="24"/>
          <w:szCs w:val="24"/>
        </w:rPr>
      </w:pPr>
      <w:r w:rsidRPr="00D52069">
        <w:rPr>
          <w:sz w:val="24"/>
          <w:szCs w:val="24"/>
        </w:rPr>
        <w:t xml:space="preserve">PBLs investment income consist of interest or discounts earned on treasury bills, bonds, gain on government security trading, dividend received on shares and capital gain from sale of securities of listed companies. </w:t>
      </w:r>
      <w:r w:rsidR="00866C8E" w:rsidRPr="00D52069">
        <w:rPr>
          <w:sz w:val="24"/>
          <w:szCs w:val="24"/>
        </w:rPr>
        <w:t xml:space="preserve">SLR was poor for PBL in 2015 which stood at 33.18%. When SLR is high banks have less money for operations and hence less money to lend. When this </w:t>
      </w:r>
      <w:proofErr w:type="gramStart"/>
      <w:r w:rsidR="00866C8E" w:rsidRPr="00D52069">
        <w:rPr>
          <w:sz w:val="24"/>
          <w:szCs w:val="24"/>
        </w:rPr>
        <w:t>happens</w:t>
      </w:r>
      <w:proofErr w:type="gramEnd"/>
      <w:r w:rsidR="00866C8E" w:rsidRPr="00D52069">
        <w:rPr>
          <w:sz w:val="24"/>
          <w:szCs w:val="24"/>
        </w:rPr>
        <w:t xml:space="preserve"> loans interest rates often rise. In recent year 2018 it fell to 15.28 %. The lowest rate was 14.96% in 2017.</w:t>
      </w:r>
    </w:p>
    <w:p w:rsidR="00BA4CF1" w:rsidRDefault="00BA4CF1" w:rsidP="009577C4">
      <w:pPr>
        <w:jc w:val="both"/>
        <w:rPr>
          <w:b/>
          <w:sz w:val="32"/>
          <w:szCs w:val="32"/>
          <w:u w:val="single"/>
        </w:rPr>
      </w:pPr>
    </w:p>
    <w:p w:rsidR="00224CB7" w:rsidRPr="00D52069" w:rsidRDefault="006B4E2A">
      <w:pPr>
        <w:rPr>
          <w:sz w:val="32"/>
          <w:szCs w:val="32"/>
          <w:u w:val="single"/>
        </w:rPr>
      </w:pPr>
      <w:r>
        <w:rPr>
          <w:b/>
          <w:sz w:val="32"/>
          <w:szCs w:val="32"/>
          <w:u w:val="single"/>
        </w:rPr>
        <w:lastRenderedPageBreak/>
        <w:t>3</w:t>
      </w:r>
      <w:r w:rsidR="00127653">
        <w:rPr>
          <w:b/>
          <w:sz w:val="32"/>
          <w:szCs w:val="32"/>
          <w:u w:val="single"/>
        </w:rPr>
        <w:t xml:space="preserve">.2 </w:t>
      </w:r>
      <w:r w:rsidR="00AB040D" w:rsidRPr="00D52069">
        <w:rPr>
          <w:b/>
          <w:sz w:val="32"/>
          <w:szCs w:val="32"/>
          <w:u w:val="single"/>
        </w:rPr>
        <w:t>Financial Leverage Ratio</w:t>
      </w:r>
      <w:r w:rsidR="00AE725F" w:rsidRPr="00D52069">
        <w:rPr>
          <w:sz w:val="32"/>
          <w:szCs w:val="32"/>
          <w:u w:val="single"/>
        </w:rPr>
        <w:t xml:space="preserve"> </w:t>
      </w:r>
    </w:p>
    <w:p w:rsidR="00285BDA" w:rsidRPr="00D52069" w:rsidRDefault="00224CB7" w:rsidP="00CB4544">
      <w:pPr>
        <w:jc w:val="both"/>
        <w:rPr>
          <w:sz w:val="24"/>
          <w:szCs w:val="24"/>
        </w:rPr>
      </w:pPr>
      <w:r w:rsidRPr="00D52069">
        <w:rPr>
          <w:sz w:val="24"/>
          <w:szCs w:val="24"/>
        </w:rPr>
        <w:t xml:space="preserve">Financial Leverage </w:t>
      </w:r>
      <w:r w:rsidR="00A61AC7" w:rsidRPr="00D52069">
        <w:rPr>
          <w:sz w:val="24"/>
          <w:szCs w:val="24"/>
        </w:rPr>
        <w:t xml:space="preserve">is </w:t>
      </w:r>
      <w:r w:rsidR="009577C4">
        <w:rPr>
          <w:sz w:val="24"/>
          <w:szCs w:val="24"/>
        </w:rPr>
        <w:t>very sensitive to understand the overall performances of firm.</w:t>
      </w:r>
      <w:r w:rsidR="00285BDA" w:rsidRPr="00D52069">
        <w:rPr>
          <w:sz w:val="24"/>
          <w:szCs w:val="24"/>
        </w:rPr>
        <w:t xml:space="preserve"> </w:t>
      </w:r>
      <w:r w:rsidR="00CB4544">
        <w:rPr>
          <w:sz w:val="24"/>
          <w:szCs w:val="24"/>
        </w:rPr>
        <w:t xml:space="preserve">The key objective of this dimension is to understand how much borrowed capital it has relative to equity provided by shareholders. </w:t>
      </w:r>
      <w:r w:rsidR="00AB040D" w:rsidRPr="00D52069">
        <w:rPr>
          <w:sz w:val="24"/>
          <w:szCs w:val="24"/>
        </w:rPr>
        <w:t>PBL has no significant concentration of credit risk. The company minimizes credit risk by dealing exclusively with high credit rating counterparties</w:t>
      </w:r>
      <w:r w:rsidR="00CB4544">
        <w:rPr>
          <w:sz w:val="24"/>
          <w:szCs w:val="24"/>
        </w:rPr>
        <w:t xml:space="preserve">. </w:t>
      </w:r>
      <w:r w:rsidR="00AB040D" w:rsidRPr="00D52069">
        <w:rPr>
          <w:sz w:val="24"/>
          <w:szCs w:val="24"/>
        </w:rPr>
        <w:t>In order to maintain capital structure PBL may adjust the amount of dividen</w:t>
      </w:r>
      <w:r w:rsidR="00534F2A" w:rsidRPr="00D52069">
        <w:rPr>
          <w:sz w:val="24"/>
          <w:szCs w:val="24"/>
        </w:rPr>
        <w:t>d</w:t>
      </w:r>
      <w:r w:rsidR="00AB040D" w:rsidRPr="00D52069">
        <w:rPr>
          <w:sz w:val="24"/>
          <w:szCs w:val="24"/>
        </w:rPr>
        <w:t xml:space="preserve">s paid to shareholders, return capital to shareholders, issue new shares or sell assets to reduce debt. </w:t>
      </w:r>
      <w:r w:rsidR="00285BDA" w:rsidRPr="00D52069">
        <w:rPr>
          <w:sz w:val="24"/>
          <w:szCs w:val="24"/>
        </w:rPr>
        <w:t xml:space="preserve">Basic financial liabilities including bank loans, creditors and loans from fellow group of companies and preference shares that are classified as debts are usually recognized at transaction price unless the arrangement constitutes a financing transaction where the debt is measured at the present value of the future payments discounted at market rate of interests. </w:t>
      </w:r>
    </w:p>
    <w:p w:rsidR="009577C4" w:rsidRDefault="009577C4" w:rsidP="00127653">
      <w:pPr>
        <w:rPr>
          <w:b/>
          <w:sz w:val="24"/>
          <w:szCs w:val="24"/>
        </w:rPr>
      </w:pPr>
    </w:p>
    <w:p w:rsidR="00804822" w:rsidRPr="00D52069" w:rsidRDefault="00127653" w:rsidP="00127653">
      <w:pPr>
        <w:rPr>
          <w:b/>
          <w:sz w:val="24"/>
          <w:szCs w:val="24"/>
        </w:rPr>
      </w:pPr>
      <w:r>
        <w:rPr>
          <w:b/>
          <w:sz w:val="24"/>
          <w:szCs w:val="24"/>
        </w:rPr>
        <w:t>(</w:t>
      </w:r>
      <w:proofErr w:type="spellStart"/>
      <w:r>
        <w:rPr>
          <w:b/>
          <w:sz w:val="24"/>
          <w:szCs w:val="24"/>
        </w:rPr>
        <w:t>i</w:t>
      </w:r>
      <w:proofErr w:type="spellEnd"/>
      <w:r>
        <w:rPr>
          <w:b/>
          <w:sz w:val="24"/>
          <w:szCs w:val="24"/>
        </w:rPr>
        <w:t xml:space="preserve">) </w:t>
      </w:r>
      <w:r w:rsidR="00103840" w:rsidRPr="00D52069">
        <w:rPr>
          <w:b/>
          <w:sz w:val="24"/>
          <w:szCs w:val="24"/>
        </w:rPr>
        <w:t xml:space="preserve">Debt to Equity Ratio </w:t>
      </w:r>
      <w:r w:rsidR="0014176F" w:rsidRPr="00D52069">
        <w:rPr>
          <w:b/>
          <w:sz w:val="24"/>
          <w:szCs w:val="24"/>
        </w:rPr>
        <w:t>(</w:t>
      </w:r>
      <w:r w:rsidR="00804822" w:rsidRPr="00D52069">
        <w:rPr>
          <w:b/>
          <w:sz w:val="24"/>
          <w:szCs w:val="24"/>
        </w:rPr>
        <w:t>D/E ratio</w:t>
      </w:r>
      <w:r w:rsidR="0014176F" w:rsidRPr="00D52069">
        <w:rPr>
          <w:b/>
          <w:sz w:val="24"/>
          <w:szCs w:val="24"/>
        </w:rPr>
        <w:t>)</w:t>
      </w:r>
    </w:p>
    <w:p w:rsidR="00285BDA" w:rsidRPr="00D52069" w:rsidRDefault="00285BDA" w:rsidP="00103840">
      <w:pPr>
        <w:jc w:val="center"/>
        <w:rPr>
          <w:sz w:val="24"/>
          <w:szCs w:val="24"/>
        </w:rPr>
      </w:pPr>
      <w:r w:rsidRPr="00D52069">
        <w:rPr>
          <w:noProof/>
          <w:sz w:val="24"/>
          <w:szCs w:val="24"/>
        </w:rPr>
        <w:drawing>
          <wp:inline distT="0" distB="0" distL="0" distR="0">
            <wp:extent cx="5486400" cy="3200400"/>
            <wp:effectExtent l="19050" t="0" r="190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bl>
      <w:tblPr>
        <w:tblW w:w="8627" w:type="dxa"/>
        <w:tblInd w:w="95" w:type="dxa"/>
        <w:tblLook w:val="04A0" w:firstRow="1" w:lastRow="0" w:firstColumn="1" w:lastColumn="0" w:noHBand="0" w:noVBand="1"/>
      </w:tblPr>
      <w:tblGrid>
        <w:gridCol w:w="3700"/>
        <w:gridCol w:w="263"/>
        <w:gridCol w:w="712"/>
        <w:gridCol w:w="263"/>
        <w:gridCol w:w="703"/>
        <w:gridCol w:w="236"/>
        <w:gridCol w:w="779"/>
        <w:gridCol w:w="236"/>
        <w:gridCol w:w="767"/>
        <w:gridCol w:w="236"/>
        <w:gridCol w:w="732"/>
      </w:tblGrid>
      <w:tr w:rsidR="002849DD" w:rsidRPr="00D52069" w:rsidTr="002849DD">
        <w:trPr>
          <w:trHeight w:val="288"/>
        </w:trPr>
        <w:tc>
          <w:tcPr>
            <w:tcW w:w="3700" w:type="dxa"/>
            <w:tcBorders>
              <w:top w:val="nil"/>
              <w:left w:val="nil"/>
              <w:bottom w:val="single" w:sz="4" w:space="0" w:color="auto"/>
              <w:right w:val="nil"/>
            </w:tcBorders>
            <w:shd w:val="clear" w:color="auto" w:fill="auto"/>
            <w:noWrap/>
            <w:vAlign w:val="bottom"/>
            <w:hideMark/>
          </w:tcPr>
          <w:p w:rsidR="002849DD" w:rsidRPr="00D52069" w:rsidRDefault="002849DD" w:rsidP="002849DD">
            <w:pPr>
              <w:spacing w:after="0" w:line="240" w:lineRule="auto"/>
              <w:rPr>
                <w:rFonts w:ascii="Calibri" w:eastAsia="Times New Roman" w:hAnsi="Calibri" w:cs="Calibri"/>
                <w:color w:val="000000"/>
                <w:sz w:val="24"/>
                <w:szCs w:val="24"/>
              </w:rPr>
            </w:pPr>
          </w:p>
        </w:tc>
        <w:tc>
          <w:tcPr>
            <w:tcW w:w="263"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17"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2018</w:t>
            </w:r>
          </w:p>
        </w:tc>
        <w:tc>
          <w:tcPr>
            <w:tcW w:w="263"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97"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2017</w:t>
            </w:r>
          </w:p>
        </w:tc>
        <w:tc>
          <w:tcPr>
            <w:tcW w:w="236"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85"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2016</w:t>
            </w:r>
          </w:p>
        </w:tc>
        <w:tc>
          <w:tcPr>
            <w:tcW w:w="236"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47"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2015</w:t>
            </w:r>
          </w:p>
        </w:tc>
        <w:tc>
          <w:tcPr>
            <w:tcW w:w="236"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47"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2014</w:t>
            </w:r>
          </w:p>
        </w:tc>
      </w:tr>
      <w:tr w:rsidR="002849DD" w:rsidRPr="00D52069" w:rsidTr="002849DD">
        <w:trPr>
          <w:trHeight w:val="288"/>
        </w:trPr>
        <w:tc>
          <w:tcPr>
            <w:tcW w:w="3700" w:type="dxa"/>
            <w:tcBorders>
              <w:top w:val="single" w:sz="4" w:space="0" w:color="auto"/>
              <w:left w:val="nil"/>
              <w:bottom w:val="nil"/>
              <w:right w:val="nil"/>
            </w:tcBorders>
            <w:shd w:val="clear" w:color="auto" w:fill="auto"/>
            <w:noWrap/>
            <w:vAlign w:val="bottom"/>
            <w:hideMark/>
          </w:tcPr>
          <w:p w:rsidR="002849DD" w:rsidRPr="00D52069" w:rsidRDefault="002849DD" w:rsidP="002849DD">
            <w:pPr>
              <w:spacing w:after="0" w:line="240" w:lineRule="auto"/>
              <w:rPr>
                <w:rFonts w:ascii="Calibri" w:eastAsia="Times New Roman" w:hAnsi="Calibri" w:cs="Calibri"/>
                <w:color w:val="000000"/>
                <w:sz w:val="24"/>
                <w:szCs w:val="24"/>
              </w:rPr>
            </w:pPr>
            <w:r w:rsidRPr="00D52069">
              <w:rPr>
                <w:rFonts w:ascii="Calibri" w:eastAsia="Times New Roman" w:hAnsi="Calibri" w:cs="Calibri"/>
                <w:color w:val="000000"/>
                <w:sz w:val="24"/>
                <w:szCs w:val="24"/>
              </w:rPr>
              <w:t>Debt to equity %</w:t>
            </w:r>
          </w:p>
        </w:tc>
        <w:tc>
          <w:tcPr>
            <w:tcW w:w="263"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17"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9.78</w:t>
            </w:r>
          </w:p>
        </w:tc>
        <w:tc>
          <w:tcPr>
            <w:tcW w:w="263"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97"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9.63</w:t>
            </w:r>
          </w:p>
        </w:tc>
        <w:tc>
          <w:tcPr>
            <w:tcW w:w="236"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85"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10.24</w:t>
            </w:r>
          </w:p>
        </w:tc>
        <w:tc>
          <w:tcPr>
            <w:tcW w:w="236"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47"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10.96</w:t>
            </w:r>
          </w:p>
        </w:tc>
        <w:tc>
          <w:tcPr>
            <w:tcW w:w="236"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47"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9.99</w:t>
            </w:r>
          </w:p>
        </w:tc>
      </w:tr>
    </w:tbl>
    <w:p w:rsidR="002849DD" w:rsidRPr="00D52069" w:rsidRDefault="002849DD" w:rsidP="002849DD">
      <w:pPr>
        <w:rPr>
          <w:sz w:val="24"/>
          <w:szCs w:val="24"/>
        </w:rPr>
      </w:pPr>
    </w:p>
    <w:p w:rsidR="00856998" w:rsidRPr="00D52069" w:rsidRDefault="00BF3F8A">
      <w:pPr>
        <w:rPr>
          <w:sz w:val="24"/>
          <w:szCs w:val="24"/>
        </w:rPr>
      </w:pPr>
      <w:r w:rsidRPr="00D52069">
        <w:rPr>
          <w:sz w:val="24"/>
          <w:szCs w:val="24"/>
        </w:rPr>
        <w:t>Debt to Equity (</w:t>
      </w:r>
      <w:r w:rsidR="00103840" w:rsidRPr="00D52069">
        <w:rPr>
          <w:sz w:val="24"/>
          <w:szCs w:val="24"/>
        </w:rPr>
        <w:t>D/E</w:t>
      </w:r>
      <w:r w:rsidRPr="00D52069">
        <w:rPr>
          <w:sz w:val="24"/>
          <w:szCs w:val="24"/>
        </w:rPr>
        <w:t>)</w:t>
      </w:r>
      <w:r w:rsidR="00103840" w:rsidRPr="00D52069">
        <w:rPr>
          <w:sz w:val="24"/>
          <w:szCs w:val="24"/>
        </w:rPr>
        <w:t xml:space="preserve"> ratio is a leverage ratio that shows how much a company’s financing comes from debt or </w:t>
      </w:r>
      <w:r w:rsidR="00785926" w:rsidRPr="00D52069">
        <w:rPr>
          <w:sz w:val="24"/>
          <w:szCs w:val="24"/>
        </w:rPr>
        <w:t xml:space="preserve">creditors. A high D/E ratio indicates more credit financing and is considered more risky sometimes, whereas some companies rely on higher debt and makes higher return.  </w:t>
      </w:r>
      <w:r w:rsidR="00476921" w:rsidRPr="00D52069">
        <w:rPr>
          <w:sz w:val="24"/>
          <w:szCs w:val="24"/>
        </w:rPr>
        <w:t xml:space="preserve"> </w:t>
      </w:r>
    </w:p>
    <w:p w:rsidR="00785926" w:rsidRPr="00D52069" w:rsidRDefault="00785926">
      <w:pPr>
        <w:rPr>
          <w:sz w:val="24"/>
          <w:szCs w:val="24"/>
        </w:rPr>
      </w:pPr>
      <w:r w:rsidRPr="00D52069">
        <w:rPr>
          <w:sz w:val="24"/>
          <w:szCs w:val="24"/>
        </w:rPr>
        <w:lastRenderedPageBreak/>
        <w:t>D/E Ratio= Total Liabilities/Total Shareholder’s Equity</w:t>
      </w:r>
    </w:p>
    <w:p w:rsidR="00960DCB" w:rsidRPr="00D52069" w:rsidRDefault="0014176F" w:rsidP="00CB4544">
      <w:pPr>
        <w:jc w:val="both"/>
        <w:rPr>
          <w:sz w:val="24"/>
          <w:szCs w:val="24"/>
        </w:rPr>
      </w:pPr>
      <w:r w:rsidRPr="00D52069">
        <w:rPr>
          <w:sz w:val="24"/>
          <w:szCs w:val="24"/>
        </w:rPr>
        <w:t xml:space="preserve">In 2018 and 2017 D/E ratio was 9.78% and 9.63% </w:t>
      </w:r>
      <w:r w:rsidR="005320B6" w:rsidRPr="00D52069">
        <w:rPr>
          <w:sz w:val="24"/>
          <w:szCs w:val="24"/>
        </w:rPr>
        <w:t>respectively</w:t>
      </w:r>
      <w:r w:rsidRPr="00D52069">
        <w:rPr>
          <w:sz w:val="24"/>
          <w:szCs w:val="24"/>
        </w:rPr>
        <w:t xml:space="preserve"> which is slight</w:t>
      </w:r>
      <w:r w:rsidR="00CC5F22" w:rsidRPr="00D52069">
        <w:rPr>
          <w:sz w:val="24"/>
          <w:szCs w:val="24"/>
        </w:rPr>
        <w:t>ly lower than the previous year</w:t>
      </w:r>
      <w:r w:rsidRPr="00D52069">
        <w:rPr>
          <w:sz w:val="24"/>
          <w:szCs w:val="24"/>
        </w:rPr>
        <w:t xml:space="preserve"> which was above 10%. </w:t>
      </w:r>
      <w:r w:rsidR="00856998" w:rsidRPr="00D52069">
        <w:rPr>
          <w:sz w:val="24"/>
          <w:szCs w:val="24"/>
        </w:rPr>
        <w:t xml:space="preserve">Prime Bank maintains subordinated debts in order to optimize capital mix and reduce overall costs of capital. PBL uses </w:t>
      </w:r>
      <w:r w:rsidR="00CB4544" w:rsidRPr="00D52069">
        <w:rPr>
          <w:sz w:val="24"/>
          <w:szCs w:val="24"/>
        </w:rPr>
        <w:t>debt</w:t>
      </w:r>
      <w:r w:rsidR="00856998" w:rsidRPr="00D52069">
        <w:rPr>
          <w:sz w:val="24"/>
          <w:szCs w:val="24"/>
        </w:rPr>
        <w:t xml:space="preserve"> and equity finance to create value in short, medium and long term. Prime Bank ltd has always tried to keep low </w:t>
      </w:r>
      <w:r w:rsidR="00CB4544" w:rsidRPr="00D52069">
        <w:rPr>
          <w:sz w:val="24"/>
          <w:szCs w:val="24"/>
        </w:rPr>
        <w:t>non-performing</w:t>
      </w:r>
      <w:r w:rsidR="00856998" w:rsidRPr="00D52069">
        <w:rPr>
          <w:sz w:val="24"/>
          <w:szCs w:val="24"/>
        </w:rPr>
        <w:t xml:space="preserve"> asset NPA. </w:t>
      </w:r>
      <w:r w:rsidRPr="00D52069">
        <w:rPr>
          <w:sz w:val="24"/>
          <w:szCs w:val="24"/>
        </w:rPr>
        <w:t xml:space="preserve">Prime Bank also has been able to maintain lower </w:t>
      </w:r>
      <w:r w:rsidR="00CB4544" w:rsidRPr="00D52069">
        <w:rPr>
          <w:sz w:val="24"/>
          <w:szCs w:val="24"/>
        </w:rPr>
        <w:t>non-performing</w:t>
      </w:r>
      <w:r w:rsidRPr="00D52069">
        <w:rPr>
          <w:sz w:val="24"/>
          <w:szCs w:val="24"/>
        </w:rPr>
        <w:t xml:space="preserve"> loan NPL compared to industry average. </w:t>
      </w:r>
      <w:r w:rsidR="00856998" w:rsidRPr="00D52069">
        <w:rPr>
          <w:sz w:val="24"/>
          <w:szCs w:val="24"/>
        </w:rPr>
        <w:t>Prime Bank has a fully capable Special Asset Management Division (SAMD) dedicated for management and recovery of problem credits.</w:t>
      </w:r>
    </w:p>
    <w:p w:rsidR="00926F5C" w:rsidRPr="00D52069" w:rsidRDefault="00926F5C" w:rsidP="002849DD">
      <w:pPr>
        <w:rPr>
          <w:b/>
          <w:sz w:val="24"/>
          <w:szCs w:val="24"/>
        </w:rPr>
      </w:pPr>
    </w:p>
    <w:p w:rsidR="0075032D" w:rsidRPr="00D52069" w:rsidRDefault="00127653" w:rsidP="00127653">
      <w:pPr>
        <w:rPr>
          <w:b/>
          <w:sz w:val="24"/>
          <w:szCs w:val="24"/>
        </w:rPr>
      </w:pPr>
      <w:r>
        <w:rPr>
          <w:b/>
          <w:sz w:val="24"/>
          <w:szCs w:val="24"/>
        </w:rPr>
        <w:t xml:space="preserve">(ii) </w:t>
      </w:r>
      <w:r w:rsidR="0075032D" w:rsidRPr="00D52069">
        <w:rPr>
          <w:b/>
          <w:sz w:val="24"/>
          <w:szCs w:val="24"/>
        </w:rPr>
        <w:t>Debt Ratio</w:t>
      </w:r>
    </w:p>
    <w:p w:rsidR="0075032D" w:rsidRPr="00D52069" w:rsidRDefault="0075032D" w:rsidP="0075032D">
      <w:pPr>
        <w:jc w:val="center"/>
        <w:rPr>
          <w:b/>
          <w:sz w:val="24"/>
          <w:szCs w:val="24"/>
        </w:rPr>
      </w:pPr>
      <w:r w:rsidRPr="00D52069">
        <w:rPr>
          <w:b/>
          <w:noProof/>
          <w:sz w:val="24"/>
          <w:szCs w:val="24"/>
        </w:rPr>
        <w:drawing>
          <wp:inline distT="0" distB="0" distL="0" distR="0">
            <wp:extent cx="5489961" cy="2854518"/>
            <wp:effectExtent l="19050" t="0" r="15489" b="2982"/>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tbl>
      <w:tblPr>
        <w:tblW w:w="8728" w:type="dxa"/>
        <w:tblInd w:w="95" w:type="dxa"/>
        <w:tblLook w:val="04A0" w:firstRow="1" w:lastRow="0" w:firstColumn="1" w:lastColumn="0" w:noHBand="0" w:noVBand="1"/>
      </w:tblPr>
      <w:tblGrid>
        <w:gridCol w:w="3700"/>
        <w:gridCol w:w="236"/>
        <w:gridCol w:w="767"/>
        <w:gridCol w:w="238"/>
        <w:gridCol w:w="767"/>
        <w:gridCol w:w="236"/>
        <w:gridCol w:w="767"/>
        <w:gridCol w:w="236"/>
        <w:gridCol w:w="767"/>
        <w:gridCol w:w="301"/>
        <w:gridCol w:w="767"/>
      </w:tblGrid>
      <w:tr w:rsidR="002849DD" w:rsidRPr="00D52069" w:rsidTr="002849DD">
        <w:trPr>
          <w:trHeight w:val="288"/>
        </w:trPr>
        <w:tc>
          <w:tcPr>
            <w:tcW w:w="3700" w:type="dxa"/>
            <w:tcBorders>
              <w:top w:val="nil"/>
              <w:left w:val="nil"/>
              <w:bottom w:val="single" w:sz="4" w:space="0" w:color="auto"/>
              <w:right w:val="nil"/>
            </w:tcBorders>
            <w:shd w:val="clear" w:color="auto" w:fill="auto"/>
            <w:noWrap/>
            <w:vAlign w:val="bottom"/>
            <w:hideMark/>
          </w:tcPr>
          <w:p w:rsidR="002849DD" w:rsidRPr="00D52069" w:rsidRDefault="002849DD" w:rsidP="002849DD">
            <w:pPr>
              <w:spacing w:after="0" w:line="240" w:lineRule="auto"/>
              <w:rPr>
                <w:rFonts w:ascii="Calibri" w:eastAsia="Times New Roman" w:hAnsi="Calibri" w:cs="Calibri"/>
                <w:color w:val="000000"/>
                <w:sz w:val="24"/>
                <w:szCs w:val="24"/>
              </w:rPr>
            </w:pPr>
          </w:p>
        </w:tc>
        <w:tc>
          <w:tcPr>
            <w:tcW w:w="236"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880"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2018</w:t>
            </w:r>
          </w:p>
        </w:tc>
        <w:tc>
          <w:tcPr>
            <w:tcW w:w="238"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22"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2017</w:t>
            </w:r>
          </w:p>
        </w:tc>
        <w:tc>
          <w:tcPr>
            <w:tcW w:w="236"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60"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2016</w:t>
            </w:r>
          </w:p>
        </w:tc>
        <w:tc>
          <w:tcPr>
            <w:tcW w:w="236"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60"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2015</w:t>
            </w:r>
          </w:p>
        </w:tc>
        <w:tc>
          <w:tcPr>
            <w:tcW w:w="301"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59"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2014</w:t>
            </w:r>
          </w:p>
        </w:tc>
      </w:tr>
      <w:tr w:rsidR="002849DD" w:rsidRPr="00D52069" w:rsidTr="002849DD">
        <w:trPr>
          <w:trHeight w:val="288"/>
        </w:trPr>
        <w:tc>
          <w:tcPr>
            <w:tcW w:w="3700" w:type="dxa"/>
            <w:tcBorders>
              <w:top w:val="single" w:sz="4" w:space="0" w:color="auto"/>
              <w:left w:val="nil"/>
              <w:bottom w:val="nil"/>
              <w:right w:val="nil"/>
            </w:tcBorders>
            <w:shd w:val="clear" w:color="auto" w:fill="auto"/>
            <w:noWrap/>
            <w:vAlign w:val="bottom"/>
            <w:hideMark/>
          </w:tcPr>
          <w:p w:rsidR="002849DD" w:rsidRPr="00D52069" w:rsidRDefault="002849DD" w:rsidP="002849DD">
            <w:pPr>
              <w:spacing w:after="0" w:line="240" w:lineRule="auto"/>
              <w:rPr>
                <w:rFonts w:ascii="Calibri" w:eastAsia="Times New Roman" w:hAnsi="Calibri" w:cs="Calibri"/>
                <w:color w:val="000000"/>
                <w:sz w:val="24"/>
                <w:szCs w:val="24"/>
              </w:rPr>
            </w:pPr>
            <w:r w:rsidRPr="00D52069">
              <w:rPr>
                <w:rFonts w:ascii="Calibri" w:eastAsia="Times New Roman" w:hAnsi="Calibri" w:cs="Calibri"/>
                <w:color w:val="000000"/>
                <w:sz w:val="24"/>
                <w:szCs w:val="24"/>
              </w:rPr>
              <w:t>Debt Ratio %</w:t>
            </w:r>
          </w:p>
        </w:tc>
        <w:tc>
          <w:tcPr>
            <w:tcW w:w="236"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880"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91.09</w:t>
            </w:r>
          </w:p>
        </w:tc>
        <w:tc>
          <w:tcPr>
            <w:tcW w:w="238"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22"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91.21</w:t>
            </w:r>
          </w:p>
        </w:tc>
        <w:tc>
          <w:tcPr>
            <w:tcW w:w="236"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60"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90.71</w:t>
            </w:r>
          </w:p>
        </w:tc>
        <w:tc>
          <w:tcPr>
            <w:tcW w:w="236"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60"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90.11</w:t>
            </w:r>
          </w:p>
        </w:tc>
        <w:tc>
          <w:tcPr>
            <w:tcW w:w="301"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59"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90.91</w:t>
            </w:r>
          </w:p>
        </w:tc>
      </w:tr>
    </w:tbl>
    <w:p w:rsidR="002849DD" w:rsidRPr="00D52069" w:rsidRDefault="002849DD" w:rsidP="002849DD">
      <w:pPr>
        <w:rPr>
          <w:b/>
          <w:sz w:val="24"/>
          <w:szCs w:val="24"/>
        </w:rPr>
      </w:pPr>
    </w:p>
    <w:p w:rsidR="00951720" w:rsidRPr="00D52069" w:rsidRDefault="00951720" w:rsidP="009577C4">
      <w:pPr>
        <w:jc w:val="both"/>
        <w:rPr>
          <w:sz w:val="24"/>
          <w:szCs w:val="24"/>
        </w:rPr>
      </w:pPr>
      <w:r w:rsidRPr="00D52069">
        <w:rPr>
          <w:sz w:val="24"/>
          <w:szCs w:val="24"/>
        </w:rPr>
        <w:t>The debt ratio is defined as the total debt to total assets. It is a leverage ratio that measures the amount of total assets that are financed by creditors instead of investors</w:t>
      </w:r>
      <w:r w:rsidR="00194845" w:rsidRPr="00D52069">
        <w:rPr>
          <w:sz w:val="24"/>
          <w:szCs w:val="24"/>
        </w:rPr>
        <w:t>. Investors want to make sure that company is solvent and has enough cash to meet its obligations. Creditors on the other hand want to see how much debt the company has</w:t>
      </w:r>
      <w:r w:rsidR="005320B6" w:rsidRPr="00D52069">
        <w:rPr>
          <w:sz w:val="24"/>
          <w:szCs w:val="24"/>
        </w:rPr>
        <w:t xml:space="preserve"> and the ability to repay debts.</w:t>
      </w:r>
    </w:p>
    <w:p w:rsidR="005320B6" w:rsidRPr="00D52069" w:rsidRDefault="005320B6" w:rsidP="009577C4">
      <w:pPr>
        <w:jc w:val="both"/>
        <w:rPr>
          <w:sz w:val="24"/>
          <w:szCs w:val="24"/>
        </w:rPr>
      </w:pPr>
      <w:r w:rsidRPr="00D52069">
        <w:rPr>
          <w:sz w:val="24"/>
          <w:szCs w:val="24"/>
        </w:rPr>
        <w:t>Debt Ratio: Total Liabilities/Total Assets</w:t>
      </w:r>
    </w:p>
    <w:p w:rsidR="005320B6" w:rsidRPr="00D52069" w:rsidRDefault="005320B6" w:rsidP="009577C4">
      <w:pPr>
        <w:jc w:val="both"/>
        <w:rPr>
          <w:sz w:val="24"/>
          <w:szCs w:val="24"/>
        </w:rPr>
      </w:pPr>
      <w:r w:rsidRPr="00D52069">
        <w:rPr>
          <w:sz w:val="24"/>
          <w:szCs w:val="24"/>
        </w:rPr>
        <w:t>The ratio is</w:t>
      </w:r>
      <w:r w:rsidR="00E318B5" w:rsidRPr="00D52069">
        <w:rPr>
          <w:sz w:val="24"/>
          <w:szCs w:val="24"/>
        </w:rPr>
        <w:t xml:space="preserve"> almost stable from 2014 to 2016</w:t>
      </w:r>
      <w:r w:rsidRPr="00D52069">
        <w:rPr>
          <w:sz w:val="24"/>
          <w:szCs w:val="24"/>
        </w:rPr>
        <w:t xml:space="preserve"> almost around 90 %</w:t>
      </w:r>
      <w:r w:rsidR="00CC5F22" w:rsidRPr="00D52069">
        <w:rPr>
          <w:sz w:val="24"/>
          <w:szCs w:val="24"/>
        </w:rPr>
        <w:t xml:space="preserve"> or 0.90</w:t>
      </w:r>
      <w:r w:rsidRPr="00D52069">
        <w:rPr>
          <w:sz w:val="24"/>
          <w:szCs w:val="24"/>
        </w:rPr>
        <w:t>.</w:t>
      </w:r>
      <w:r w:rsidR="00E318B5" w:rsidRPr="00D52069">
        <w:rPr>
          <w:sz w:val="24"/>
          <w:szCs w:val="24"/>
        </w:rPr>
        <w:t xml:space="preserve"> In 2017 it increased by 1%</w:t>
      </w:r>
      <w:r w:rsidR="00330295" w:rsidRPr="00D52069">
        <w:rPr>
          <w:sz w:val="24"/>
          <w:szCs w:val="24"/>
        </w:rPr>
        <w:t xml:space="preserve"> to 91.21%. High debt ratio means more risk and investors find the bank is risky as it </w:t>
      </w:r>
      <w:r w:rsidR="00330295" w:rsidRPr="00D52069">
        <w:rPr>
          <w:sz w:val="24"/>
          <w:szCs w:val="24"/>
        </w:rPr>
        <w:lastRenderedPageBreak/>
        <w:t>suggests the bank has taken more debt.</w:t>
      </w:r>
      <w:r w:rsidRPr="00D52069">
        <w:rPr>
          <w:sz w:val="24"/>
          <w:szCs w:val="24"/>
        </w:rPr>
        <w:t xml:space="preserve"> </w:t>
      </w:r>
      <w:r w:rsidR="00330295" w:rsidRPr="00D52069">
        <w:rPr>
          <w:sz w:val="24"/>
          <w:szCs w:val="24"/>
        </w:rPr>
        <w:t>Good News is a</w:t>
      </w:r>
      <w:r w:rsidRPr="00D52069">
        <w:rPr>
          <w:sz w:val="24"/>
          <w:szCs w:val="24"/>
        </w:rPr>
        <w:t>s the ratio is less than 1, it indicates PBL has more assets than liabilities and can pay off its obligations.</w:t>
      </w:r>
    </w:p>
    <w:p w:rsidR="00F07CC7" w:rsidRDefault="00F07CC7" w:rsidP="00127653">
      <w:pPr>
        <w:rPr>
          <w:b/>
          <w:sz w:val="24"/>
          <w:szCs w:val="24"/>
        </w:rPr>
      </w:pPr>
    </w:p>
    <w:p w:rsidR="00960DCB" w:rsidRPr="00D52069" w:rsidRDefault="00127653" w:rsidP="00127653">
      <w:pPr>
        <w:rPr>
          <w:b/>
          <w:sz w:val="24"/>
          <w:szCs w:val="24"/>
        </w:rPr>
      </w:pPr>
      <w:r>
        <w:rPr>
          <w:b/>
          <w:sz w:val="24"/>
          <w:szCs w:val="24"/>
        </w:rPr>
        <w:t xml:space="preserve">(iii) </w:t>
      </w:r>
      <w:r w:rsidR="003607A3" w:rsidRPr="00D52069">
        <w:rPr>
          <w:b/>
          <w:sz w:val="24"/>
          <w:szCs w:val="24"/>
        </w:rPr>
        <w:t>Gearing Ratio</w:t>
      </w:r>
    </w:p>
    <w:p w:rsidR="003607A3" w:rsidRPr="00D52069" w:rsidRDefault="003607A3" w:rsidP="003607A3">
      <w:pPr>
        <w:jc w:val="center"/>
        <w:rPr>
          <w:sz w:val="24"/>
          <w:szCs w:val="24"/>
        </w:rPr>
      </w:pPr>
      <w:r w:rsidRPr="00D52069">
        <w:rPr>
          <w:noProof/>
          <w:sz w:val="24"/>
          <w:szCs w:val="24"/>
        </w:rPr>
        <w:drawing>
          <wp:inline distT="0" distB="0" distL="0" distR="0">
            <wp:extent cx="5486400" cy="3200400"/>
            <wp:effectExtent l="19050" t="0" r="1905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bl>
      <w:tblPr>
        <w:tblW w:w="8888" w:type="dxa"/>
        <w:tblInd w:w="95" w:type="dxa"/>
        <w:tblLook w:val="04A0" w:firstRow="1" w:lastRow="0" w:firstColumn="1" w:lastColumn="0" w:noHBand="0" w:noVBand="1"/>
      </w:tblPr>
      <w:tblGrid>
        <w:gridCol w:w="3700"/>
        <w:gridCol w:w="236"/>
        <w:gridCol w:w="890"/>
        <w:gridCol w:w="236"/>
        <w:gridCol w:w="767"/>
        <w:gridCol w:w="236"/>
        <w:gridCol w:w="767"/>
        <w:gridCol w:w="236"/>
        <w:gridCol w:w="860"/>
        <w:gridCol w:w="960"/>
      </w:tblGrid>
      <w:tr w:rsidR="009638F4" w:rsidRPr="00D52069" w:rsidTr="009638F4">
        <w:trPr>
          <w:trHeight w:val="288"/>
        </w:trPr>
        <w:tc>
          <w:tcPr>
            <w:tcW w:w="3700" w:type="dxa"/>
            <w:tcBorders>
              <w:top w:val="nil"/>
              <w:left w:val="nil"/>
              <w:bottom w:val="single" w:sz="4" w:space="0" w:color="auto"/>
              <w:right w:val="nil"/>
            </w:tcBorders>
            <w:shd w:val="clear" w:color="auto" w:fill="auto"/>
            <w:noWrap/>
            <w:vAlign w:val="bottom"/>
            <w:hideMark/>
          </w:tcPr>
          <w:p w:rsidR="009638F4" w:rsidRPr="00D52069" w:rsidRDefault="009638F4" w:rsidP="009638F4">
            <w:pPr>
              <w:spacing w:after="0" w:line="240" w:lineRule="auto"/>
              <w:rPr>
                <w:rFonts w:ascii="Calibri" w:eastAsia="Times New Roman" w:hAnsi="Calibri" w:cs="Calibri"/>
                <w:color w:val="000000"/>
                <w:sz w:val="24"/>
                <w:szCs w:val="24"/>
              </w:rPr>
            </w:pPr>
          </w:p>
        </w:tc>
        <w:tc>
          <w:tcPr>
            <w:tcW w:w="236" w:type="dxa"/>
            <w:tcBorders>
              <w:top w:val="nil"/>
              <w:left w:val="nil"/>
              <w:bottom w:val="single" w:sz="4" w:space="0" w:color="auto"/>
              <w:right w:val="single" w:sz="4" w:space="0" w:color="auto"/>
            </w:tcBorders>
            <w:shd w:val="clear" w:color="auto" w:fill="auto"/>
            <w:noWrap/>
            <w:vAlign w:val="bottom"/>
            <w:hideMark/>
          </w:tcPr>
          <w:p w:rsidR="009638F4" w:rsidRPr="00D52069" w:rsidRDefault="009638F4" w:rsidP="009638F4">
            <w:pPr>
              <w:spacing w:after="0" w:line="240" w:lineRule="auto"/>
              <w:jc w:val="right"/>
              <w:rPr>
                <w:rFonts w:ascii="Calibri" w:eastAsia="Times New Roman" w:hAnsi="Calibri" w:cs="Calibri"/>
                <w:b/>
                <w:bCs/>
                <w:color w:val="000000"/>
                <w:sz w:val="24"/>
                <w:szCs w:val="24"/>
              </w:rPr>
            </w:pPr>
          </w:p>
        </w:tc>
        <w:tc>
          <w:tcPr>
            <w:tcW w:w="905" w:type="dxa"/>
            <w:tcBorders>
              <w:top w:val="nil"/>
              <w:left w:val="single" w:sz="4" w:space="0" w:color="auto"/>
              <w:bottom w:val="single" w:sz="4" w:space="0" w:color="auto"/>
              <w:right w:val="nil"/>
            </w:tcBorders>
            <w:shd w:val="clear" w:color="auto" w:fill="auto"/>
            <w:vAlign w:val="bottom"/>
          </w:tcPr>
          <w:p w:rsidR="009638F4" w:rsidRPr="00D52069" w:rsidRDefault="009638F4" w:rsidP="009638F4">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2018</w:t>
            </w:r>
          </w:p>
        </w:tc>
        <w:tc>
          <w:tcPr>
            <w:tcW w:w="236" w:type="dxa"/>
            <w:tcBorders>
              <w:top w:val="nil"/>
              <w:left w:val="nil"/>
              <w:bottom w:val="single" w:sz="4" w:space="0" w:color="auto"/>
              <w:right w:val="single" w:sz="4" w:space="0" w:color="auto"/>
            </w:tcBorders>
            <w:shd w:val="clear" w:color="auto" w:fill="auto"/>
            <w:noWrap/>
            <w:vAlign w:val="bottom"/>
            <w:hideMark/>
          </w:tcPr>
          <w:p w:rsidR="009638F4" w:rsidRPr="00D52069" w:rsidRDefault="009638F4" w:rsidP="009638F4">
            <w:pPr>
              <w:spacing w:after="0" w:line="240" w:lineRule="auto"/>
              <w:jc w:val="right"/>
              <w:rPr>
                <w:rFonts w:ascii="Calibri" w:eastAsia="Times New Roman" w:hAnsi="Calibri" w:cs="Calibri"/>
                <w:b/>
                <w:bCs/>
                <w:color w:val="000000"/>
                <w:sz w:val="24"/>
                <w:szCs w:val="24"/>
              </w:rPr>
            </w:pPr>
          </w:p>
        </w:tc>
        <w:tc>
          <w:tcPr>
            <w:tcW w:w="760" w:type="dxa"/>
            <w:tcBorders>
              <w:top w:val="nil"/>
              <w:left w:val="single" w:sz="4" w:space="0" w:color="auto"/>
              <w:bottom w:val="single" w:sz="4" w:space="0" w:color="auto"/>
              <w:right w:val="nil"/>
            </w:tcBorders>
            <w:shd w:val="clear" w:color="auto" w:fill="auto"/>
            <w:vAlign w:val="bottom"/>
          </w:tcPr>
          <w:p w:rsidR="009638F4" w:rsidRPr="00D52069" w:rsidRDefault="009638F4" w:rsidP="009638F4">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2017</w:t>
            </w:r>
          </w:p>
        </w:tc>
        <w:tc>
          <w:tcPr>
            <w:tcW w:w="236" w:type="dxa"/>
            <w:tcBorders>
              <w:top w:val="nil"/>
              <w:left w:val="nil"/>
              <w:bottom w:val="single" w:sz="4" w:space="0" w:color="auto"/>
              <w:right w:val="single" w:sz="4" w:space="0" w:color="auto"/>
            </w:tcBorders>
            <w:shd w:val="clear" w:color="auto" w:fill="auto"/>
            <w:noWrap/>
            <w:vAlign w:val="bottom"/>
            <w:hideMark/>
          </w:tcPr>
          <w:p w:rsidR="009638F4" w:rsidRPr="00D52069" w:rsidRDefault="009638F4" w:rsidP="009638F4">
            <w:pPr>
              <w:spacing w:after="0" w:line="240" w:lineRule="auto"/>
              <w:jc w:val="right"/>
              <w:rPr>
                <w:rFonts w:ascii="Calibri" w:eastAsia="Times New Roman" w:hAnsi="Calibri" w:cs="Calibri"/>
                <w:b/>
                <w:bCs/>
                <w:color w:val="000000"/>
                <w:sz w:val="24"/>
                <w:szCs w:val="24"/>
              </w:rPr>
            </w:pPr>
          </w:p>
        </w:tc>
        <w:tc>
          <w:tcPr>
            <w:tcW w:w="747" w:type="dxa"/>
            <w:tcBorders>
              <w:top w:val="nil"/>
              <w:left w:val="single" w:sz="4" w:space="0" w:color="auto"/>
              <w:bottom w:val="single" w:sz="4" w:space="0" w:color="auto"/>
              <w:right w:val="nil"/>
            </w:tcBorders>
            <w:shd w:val="clear" w:color="auto" w:fill="auto"/>
            <w:vAlign w:val="bottom"/>
          </w:tcPr>
          <w:p w:rsidR="009638F4" w:rsidRPr="00D52069" w:rsidRDefault="009638F4" w:rsidP="009638F4">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2016</w:t>
            </w:r>
          </w:p>
        </w:tc>
        <w:tc>
          <w:tcPr>
            <w:tcW w:w="236" w:type="dxa"/>
            <w:tcBorders>
              <w:top w:val="nil"/>
              <w:left w:val="nil"/>
              <w:bottom w:val="single" w:sz="4" w:space="0" w:color="auto"/>
              <w:right w:val="single" w:sz="4" w:space="0" w:color="auto"/>
            </w:tcBorders>
            <w:shd w:val="clear" w:color="auto" w:fill="auto"/>
            <w:noWrap/>
            <w:vAlign w:val="bottom"/>
            <w:hideMark/>
          </w:tcPr>
          <w:p w:rsidR="009638F4" w:rsidRPr="00D52069" w:rsidRDefault="009638F4" w:rsidP="009638F4">
            <w:pPr>
              <w:spacing w:after="0" w:line="240" w:lineRule="auto"/>
              <w:jc w:val="right"/>
              <w:rPr>
                <w:rFonts w:ascii="Calibri" w:eastAsia="Times New Roman" w:hAnsi="Calibri" w:cs="Calibri"/>
                <w:b/>
                <w:bCs/>
                <w:color w:val="000000"/>
                <w:sz w:val="24"/>
                <w:szCs w:val="24"/>
              </w:rPr>
            </w:pPr>
          </w:p>
        </w:tc>
        <w:tc>
          <w:tcPr>
            <w:tcW w:w="872" w:type="dxa"/>
            <w:tcBorders>
              <w:top w:val="nil"/>
              <w:left w:val="single" w:sz="4" w:space="0" w:color="auto"/>
              <w:bottom w:val="single" w:sz="4" w:space="0" w:color="auto"/>
              <w:right w:val="single" w:sz="4" w:space="0" w:color="auto"/>
            </w:tcBorders>
            <w:shd w:val="clear" w:color="auto" w:fill="auto"/>
            <w:vAlign w:val="bottom"/>
          </w:tcPr>
          <w:p w:rsidR="009638F4" w:rsidRPr="00D52069" w:rsidRDefault="009638F4" w:rsidP="009638F4">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2015</w:t>
            </w:r>
          </w:p>
        </w:tc>
        <w:tc>
          <w:tcPr>
            <w:tcW w:w="960" w:type="dxa"/>
            <w:tcBorders>
              <w:top w:val="nil"/>
              <w:left w:val="single" w:sz="4" w:space="0" w:color="auto"/>
              <w:bottom w:val="single" w:sz="4" w:space="0" w:color="auto"/>
              <w:right w:val="nil"/>
            </w:tcBorders>
            <w:shd w:val="clear" w:color="auto" w:fill="auto"/>
            <w:noWrap/>
            <w:vAlign w:val="bottom"/>
            <w:hideMark/>
          </w:tcPr>
          <w:p w:rsidR="009638F4" w:rsidRPr="00D52069" w:rsidRDefault="009638F4" w:rsidP="009638F4">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2014</w:t>
            </w:r>
          </w:p>
        </w:tc>
      </w:tr>
      <w:tr w:rsidR="009638F4" w:rsidRPr="00D52069" w:rsidTr="009638F4">
        <w:trPr>
          <w:trHeight w:val="288"/>
        </w:trPr>
        <w:tc>
          <w:tcPr>
            <w:tcW w:w="3700" w:type="dxa"/>
            <w:tcBorders>
              <w:top w:val="single" w:sz="4" w:space="0" w:color="auto"/>
              <w:left w:val="nil"/>
              <w:bottom w:val="nil"/>
              <w:right w:val="nil"/>
            </w:tcBorders>
            <w:shd w:val="clear" w:color="auto" w:fill="auto"/>
            <w:noWrap/>
            <w:vAlign w:val="bottom"/>
            <w:hideMark/>
          </w:tcPr>
          <w:p w:rsidR="009638F4" w:rsidRPr="00D52069" w:rsidRDefault="009638F4" w:rsidP="009638F4">
            <w:pPr>
              <w:spacing w:after="0" w:line="240" w:lineRule="auto"/>
              <w:rPr>
                <w:rFonts w:ascii="Calibri" w:eastAsia="Times New Roman" w:hAnsi="Calibri" w:cs="Calibri"/>
                <w:color w:val="000000"/>
                <w:sz w:val="24"/>
                <w:szCs w:val="24"/>
              </w:rPr>
            </w:pPr>
            <w:r w:rsidRPr="00D52069">
              <w:rPr>
                <w:rFonts w:ascii="Calibri" w:eastAsia="Times New Roman" w:hAnsi="Calibri" w:cs="Calibri"/>
                <w:color w:val="000000"/>
                <w:sz w:val="24"/>
                <w:szCs w:val="24"/>
              </w:rPr>
              <w:t xml:space="preserve">Gearing Ratio % </w:t>
            </w:r>
          </w:p>
        </w:tc>
        <w:tc>
          <w:tcPr>
            <w:tcW w:w="236" w:type="dxa"/>
            <w:tcBorders>
              <w:top w:val="single" w:sz="4" w:space="0" w:color="auto"/>
              <w:left w:val="nil"/>
              <w:bottom w:val="nil"/>
              <w:right w:val="single" w:sz="4" w:space="0" w:color="auto"/>
            </w:tcBorders>
            <w:shd w:val="clear" w:color="auto" w:fill="auto"/>
            <w:noWrap/>
            <w:vAlign w:val="bottom"/>
            <w:hideMark/>
          </w:tcPr>
          <w:p w:rsidR="009638F4" w:rsidRPr="00D52069" w:rsidRDefault="009638F4" w:rsidP="009638F4">
            <w:pPr>
              <w:spacing w:after="0" w:line="240" w:lineRule="auto"/>
              <w:jc w:val="right"/>
              <w:rPr>
                <w:rFonts w:ascii="Calibri" w:eastAsia="Times New Roman" w:hAnsi="Calibri" w:cs="Calibri"/>
                <w:b/>
                <w:bCs/>
                <w:color w:val="000000"/>
                <w:sz w:val="24"/>
                <w:szCs w:val="24"/>
              </w:rPr>
            </w:pPr>
          </w:p>
        </w:tc>
        <w:tc>
          <w:tcPr>
            <w:tcW w:w="905" w:type="dxa"/>
            <w:tcBorders>
              <w:top w:val="single" w:sz="4" w:space="0" w:color="auto"/>
              <w:left w:val="single" w:sz="4" w:space="0" w:color="auto"/>
              <w:bottom w:val="nil"/>
              <w:right w:val="nil"/>
            </w:tcBorders>
            <w:shd w:val="clear" w:color="auto" w:fill="auto"/>
            <w:vAlign w:val="bottom"/>
          </w:tcPr>
          <w:p w:rsidR="009638F4" w:rsidRPr="00D52069" w:rsidRDefault="009638F4" w:rsidP="009638F4">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80.43</w:t>
            </w:r>
          </w:p>
        </w:tc>
        <w:tc>
          <w:tcPr>
            <w:tcW w:w="236" w:type="dxa"/>
            <w:tcBorders>
              <w:top w:val="single" w:sz="4" w:space="0" w:color="auto"/>
              <w:left w:val="nil"/>
              <w:bottom w:val="nil"/>
              <w:right w:val="single" w:sz="4" w:space="0" w:color="auto"/>
            </w:tcBorders>
            <w:shd w:val="clear" w:color="auto" w:fill="auto"/>
            <w:noWrap/>
            <w:vAlign w:val="bottom"/>
            <w:hideMark/>
          </w:tcPr>
          <w:p w:rsidR="009638F4" w:rsidRPr="00D52069" w:rsidRDefault="009638F4" w:rsidP="009638F4">
            <w:pPr>
              <w:spacing w:after="0" w:line="240" w:lineRule="auto"/>
              <w:jc w:val="right"/>
              <w:rPr>
                <w:rFonts w:ascii="Calibri" w:eastAsia="Times New Roman" w:hAnsi="Calibri" w:cs="Calibri"/>
                <w:b/>
                <w:bCs/>
                <w:color w:val="000000"/>
                <w:sz w:val="24"/>
                <w:szCs w:val="24"/>
              </w:rPr>
            </w:pPr>
          </w:p>
        </w:tc>
        <w:tc>
          <w:tcPr>
            <w:tcW w:w="760" w:type="dxa"/>
            <w:tcBorders>
              <w:top w:val="single" w:sz="4" w:space="0" w:color="auto"/>
              <w:left w:val="single" w:sz="4" w:space="0" w:color="auto"/>
              <w:bottom w:val="nil"/>
              <w:right w:val="nil"/>
            </w:tcBorders>
            <w:shd w:val="clear" w:color="auto" w:fill="auto"/>
            <w:vAlign w:val="bottom"/>
          </w:tcPr>
          <w:p w:rsidR="009638F4" w:rsidRPr="00D52069" w:rsidRDefault="009638F4" w:rsidP="009638F4">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79.08</w:t>
            </w:r>
          </w:p>
        </w:tc>
        <w:tc>
          <w:tcPr>
            <w:tcW w:w="236" w:type="dxa"/>
            <w:tcBorders>
              <w:top w:val="single" w:sz="4" w:space="0" w:color="auto"/>
              <w:left w:val="nil"/>
              <w:bottom w:val="nil"/>
              <w:right w:val="single" w:sz="4" w:space="0" w:color="auto"/>
            </w:tcBorders>
            <w:shd w:val="clear" w:color="auto" w:fill="auto"/>
            <w:noWrap/>
            <w:vAlign w:val="bottom"/>
            <w:hideMark/>
          </w:tcPr>
          <w:p w:rsidR="009638F4" w:rsidRPr="00D52069" w:rsidRDefault="009638F4" w:rsidP="009638F4">
            <w:pPr>
              <w:spacing w:after="0" w:line="240" w:lineRule="auto"/>
              <w:jc w:val="right"/>
              <w:rPr>
                <w:rFonts w:ascii="Calibri" w:eastAsia="Times New Roman" w:hAnsi="Calibri" w:cs="Calibri"/>
                <w:b/>
                <w:bCs/>
                <w:color w:val="000000"/>
                <w:sz w:val="24"/>
                <w:szCs w:val="24"/>
              </w:rPr>
            </w:pPr>
          </w:p>
        </w:tc>
        <w:tc>
          <w:tcPr>
            <w:tcW w:w="747" w:type="dxa"/>
            <w:tcBorders>
              <w:top w:val="single" w:sz="4" w:space="0" w:color="auto"/>
              <w:left w:val="single" w:sz="4" w:space="0" w:color="auto"/>
              <w:bottom w:val="nil"/>
              <w:right w:val="nil"/>
            </w:tcBorders>
            <w:shd w:val="clear" w:color="auto" w:fill="auto"/>
            <w:vAlign w:val="bottom"/>
          </w:tcPr>
          <w:p w:rsidR="009638F4" w:rsidRPr="00D52069" w:rsidRDefault="009638F4" w:rsidP="009638F4">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78.18</w:t>
            </w:r>
          </w:p>
        </w:tc>
        <w:tc>
          <w:tcPr>
            <w:tcW w:w="236" w:type="dxa"/>
            <w:tcBorders>
              <w:top w:val="single" w:sz="4" w:space="0" w:color="auto"/>
              <w:left w:val="nil"/>
              <w:bottom w:val="nil"/>
              <w:right w:val="single" w:sz="4" w:space="0" w:color="auto"/>
            </w:tcBorders>
            <w:shd w:val="clear" w:color="auto" w:fill="auto"/>
            <w:noWrap/>
            <w:vAlign w:val="bottom"/>
            <w:hideMark/>
          </w:tcPr>
          <w:p w:rsidR="009638F4" w:rsidRPr="00D52069" w:rsidRDefault="009638F4" w:rsidP="009638F4">
            <w:pPr>
              <w:spacing w:after="0" w:line="240" w:lineRule="auto"/>
              <w:jc w:val="right"/>
              <w:rPr>
                <w:rFonts w:ascii="Calibri" w:eastAsia="Times New Roman" w:hAnsi="Calibri" w:cs="Calibri"/>
                <w:b/>
                <w:bCs/>
                <w:color w:val="000000"/>
                <w:sz w:val="24"/>
                <w:szCs w:val="24"/>
              </w:rPr>
            </w:pPr>
          </w:p>
        </w:tc>
        <w:tc>
          <w:tcPr>
            <w:tcW w:w="872" w:type="dxa"/>
            <w:tcBorders>
              <w:top w:val="single" w:sz="4" w:space="0" w:color="auto"/>
              <w:left w:val="single" w:sz="4" w:space="0" w:color="auto"/>
              <w:bottom w:val="nil"/>
              <w:right w:val="single" w:sz="4" w:space="0" w:color="auto"/>
            </w:tcBorders>
            <w:shd w:val="clear" w:color="auto" w:fill="auto"/>
            <w:vAlign w:val="bottom"/>
          </w:tcPr>
          <w:p w:rsidR="009638F4" w:rsidRPr="00D52069" w:rsidRDefault="009638F4" w:rsidP="009638F4">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78.27</w:t>
            </w:r>
          </w:p>
        </w:tc>
        <w:tc>
          <w:tcPr>
            <w:tcW w:w="960" w:type="dxa"/>
            <w:tcBorders>
              <w:top w:val="single" w:sz="4" w:space="0" w:color="auto"/>
              <w:left w:val="single" w:sz="4" w:space="0" w:color="auto"/>
              <w:bottom w:val="nil"/>
              <w:right w:val="nil"/>
            </w:tcBorders>
            <w:shd w:val="clear" w:color="auto" w:fill="auto"/>
            <w:noWrap/>
            <w:vAlign w:val="bottom"/>
            <w:hideMark/>
          </w:tcPr>
          <w:p w:rsidR="009638F4" w:rsidRPr="00D52069" w:rsidRDefault="009638F4" w:rsidP="009638F4">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80.96</w:t>
            </w:r>
          </w:p>
        </w:tc>
      </w:tr>
    </w:tbl>
    <w:p w:rsidR="009638F4" w:rsidRPr="00D52069" w:rsidRDefault="009638F4" w:rsidP="009638F4">
      <w:pPr>
        <w:rPr>
          <w:sz w:val="24"/>
          <w:szCs w:val="24"/>
        </w:rPr>
      </w:pPr>
    </w:p>
    <w:p w:rsidR="003607A3" w:rsidRPr="00D52069" w:rsidRDefault="003607A3" w:rsidP="009577C4">
      <w:pPr>
        <w:jc w:val="both"/>
        <w:rPr>
          <w:b/>
          <w:sz w:val="24"/>
          <w:szCs w:val="24"/>
        </w:rPr>
      </w:pPr>
    </w:p>
    <w:p w:rsidR="003607A3" w:rsidRPr="00D52069" w:rsidRDefault="003607A3" w:rsidP="009577C4">
      <w:pPr>
        <w:jc w:val="both"/>
        <w:rPr>
          <w:sz w:val="24"/>
          <w:szCs w:val="24"/>
        </w:rPr>
      </w:pPr>
      <w:r w:rsidRPr="00D52069">
        <w:rPr>
          <w:sz w:val="24"/>
          <w:szCs w:val="24"/>
        </w:rPr>
        <w:t xml:space="preserve">Gearing Ratio is a measure of company’s financial </w:t>
      </w:r>
      <w:proofErr w:type="gramStart"/>
      <w:r w:rsidRPr="00D52069">
        <w:rPr>
          <w:sz w:val="24"/>
          <w:szCs w:val="24"/>
        </w:rPr>
        <w:t>leverage,</w:t>
      </w:r>
      <w:proofErr w:type="gramEnd"/>
      <w:r w:rsidRPr="00D52069">
        <w:rPr>
          <w:sz w:val="24"/>
          <w:szCs w:val="24"/>
        </w:rPr>
        <w:t xml:space="preserve"> it is the level of interest bearing liabilities in its capital structure. It shows the proportion of borrowed funds to its equity.</w:t>
      </w:r>
    </w:p>
    <w:p w:rsidR="009F2356" w:rsidRPr="00D52069" w:rsidRDefault="009F2356" w:rsidP="009577C4">
      <w:pPr>
        <w:jc w:val="both"/>
        <w:rPr>
          <w:sz w:val="24"/>
          <w:szCs w:val="24"/>
        </w:rPr>
      </w:pPr>
      <w:r w:rsidRPr="00D52069">
        <w:rPr>
          <w:sz w:val="24"/>
          <w:szCs w:val="24"/>
        </w:rPr>
        <w:t>Gearing Ratio = Debt / (Debt + Equity)</w:t>
      </w:r>
    </w:p>
    <w:p w:rsidR="009638F4" w:rsidRPr="00D52069" w:rsidRDefault="00DF41C8" w:rsidP="009577C4">
      <w:pPr>
        <w:jc w:val="both"/>
        <w:rPr>
          <w:sz w:val="24"/>
          <w:szCs w:val="24"/>
        </w:rPr>
      </w:pPr>
      <w:r>
        <w:rPr>
          <w:sz w:val="24"/>
          <w:szCs w:val="24"/>
        </w:rPr>
        <w:t>PBL has high gearing ratio as it is over 50% in all the years.</w:t>
      </w:r>
      <w:r w:rsidR="00D52069">
        <w:rPr>
          <w:b/>
          <w:sz w:val="24"/>
          <w:szCs w:val="24"/>
        </w:rPr>
        <w:t xml:space="preserve"> </w:t>
      </w:r>
      <w:r w:rsidR="00D52069">
        <w:rPr>
          <w:sz w:val="24"/>
          <w:szCs w:val="24"/>
        </w:rPr>
        <w:t>In 2014</w:t>
      </w:r>
      <w:r w:rsidR="00D52069" w:rsidRPr="00D52069">
        <w:rPr>
          <w:sz w:val="24"/>
          <w:szCs w:val="24"/>
        </w:rPr>
        <w:t xml:space="preserve"> Gearing Ratio of PBL was </w:t>
      </w:r>
      <w:r w:rsidR="00D52069">
        <w:rPr>
          <w:sz w:val="24"/>
          <w:szCs w:val="24"/>
        </w:rPr>
        <w:t>80.96 % which means the financial leverage of PBL was high compared to equity. PBL however decreased their gearing ratio in 2015 to 78.27 %</w:t>
      </w:r>
      <w:r>
        <w:rPr>
          <w:sz w:val="24"/>
          <w:szCs w:val="24"/>
        </w:rPr>
        <w:t xml:space="preserve"> and maintained the ratio around 78.5 % for three years. In 2018 PBL faced a drastic increase again in Gearing Ratio to 80.43 %</w:t>
      </w:r>
      <w:r w:rsidR="00D52069" w:rsidRPr="00D52069">
        <w:rPr>
          <w:sz w:val="24"/>
          <w:szCs w:val="24"/>
        </w:rPr>
        <w:t xml:space="preserve"> </w:t>
      </w:r>
    </w:p>
    <w:p w:rsidR="009577C4" w:rsidRDefault="009577C4">
      <w:pPr>
        <w:rPr>
          <w:b/>
          <w:sz w:val="32"/>
          <w:szCs w:val="32"/>
          <w:u w:val="single"/>
        </w:rPr>
      </w:pPr>
    </w:p>
    <w:p w:rsidR="009577C4" w:rsidRDefault="009577C4">
      <w:pPr>
        <w:rPr>
          <w:b/>
          <w:sz w:val="32"/>
          <w:szCs w:val="32"/>
          <w:u w:val="single"/>
        </w:rPr>
      </w:pPr>
    </w:p>
    <w:p w:rsidR="00224CB7" w:rsidRPr="00D52069" w:rsidRDefault="006B4E2A">
      <w:pPr>
        <w:rPr>
          <w:sz w:val="32"/>
          <w:szCs w:val="32"/>
          <w:u w:val="single"/>
        </w:rPr>
      </w:pPr>
      <w:r>
        <w:rPr>
          <w:b/>
          <w:sz w:val="32"/>
          <w:szCs w:val="32"/>
          <w:u w:val="single"/>
        </w:rPr>
        <w:lastRenderedPageBreak/>
        <w:t>3</w:t>
      </w:r>
      <w:r w:rsidR="00127653">
        <w:rPr>
          <w:b/>
          <w:sz w:val="32"/>
          <w:szCs w:val="32"/>
          <w:u w:val="single"/>
        </w:rPr>
        <w:t xml:space="preserve">.3 </w:t>
      </w:r>
      <w:r w:rsidR="00372223" w:rsidRPr="00D52069">
        <w:rPr>
          <w:b/>
          <w:sz w:val="32"/>
          <w:szCs w:val="32"/>
          <w:u w:val="single"/>
        </w:rPr>
        <w:t xml:space="preserve">Turnover </w:t>
      </w:r>
      <w:r w:rsidR="00C62051" w:rsidRPr="00D52069">
        <w:rPr>
          <w:b/>
          <w:sz w:val="32"/>
          <w:szCs w:val="32"/>
          <w:u w:val="single"/>
        </w:rPr>
        <w:t xml:space="preserve">or Efficiency </w:t>
      </w:r>
      <w:r w:rsidR="00372223" w:rsidRPr="00D52069">
        <w:rPr>
          <w:b/>
          <w:sz w:val="32"/>
          <w:szCs w:val="32"/>
          <w:u w:val="single"/>
        </w:rPr>
        <w:t xml:space="preserve">Ratios </w:t>
      </w:r>
    </w:p>
    <w:p w:rsidR="00DF41C8" w:rsidRPr="005379E2" w:rsidRDefault="00372223" w:rsidP="009577C4">
      <w:pPr>
        <w:jc w:val="both"/>
        <w:rPr>
          <w:sz w:val="24"/>
          <w:szCs w:val="24"/>
        </w:rPr>
      </w:pPr>
      <w:r w:rsidRPr="00D52069">
        <w:rPr>
          <w:sz w:val="24"/>
          <w:szCs w:val="24"/>
        </w:rPr>
        <w:t xml:space="preserve">It talks about the efficiency in how a firm uses its </w:t>
      </w:r>
      <w:proofErr w:type="gramStart"/>
      <w:r w:rsidRPr="00D52069">
        <w:rPr>
          <w:sz w:val="24"/>
          <w:szCs w:val="24"/>
        </w:rPr>
        <w:t>assets</w:t>
      </w:r>
      <w:r w:rsidR="00383420" w:rsidRPr="00D52069">
        <w:rPr>
          <w:sz w:val="24"/>
          <w:szCs w:val="24"/>
        </w:rPr>
        <w:t>,</w:t>
      </w:r>
      <w:proofErr w:type="gramEnd"/>
      <w:r w:rsidR="00383420" w:rsidRPr="00D52069">
        <w:rPr>
          <w:sz w:val="24"/>
          <w:szCs w:val="24"/>
        </w:rPr>
        <w:t xml:space="preserve"> it measures the efficiency of operations. The banking sector requires a secure and reliable communication infrastructure to ensure operational efficiency. PBL has a robust network infrastructure with scalable secure redundant and load balanced architecture to support its customers.</w:t>
      </w:r>
    </w:p>
    <w:p w:rsidR="006F6D55" w:rsidRPr="00D52069" w:rsidRDefault="00127653" w:rsidP="00127653">
      <w:pPr>
        <w:rPr>
          <w:b/>
          <w:sz w:val="24"/>
          <w:szCs w:val="24"/>
        </w:rPr>
      </w:pPr>
      <w:r>
        <w:rPr>
          <w:b/>
          <w:sz w:val="24"/>
          <w:szCs w:val="24"/>
        </w:rPr>
        <w:t>(</w:t>
      </w:r>
      <w:proofErr w:type="spellStart"/>
      <w:r>
        <w:rPr>
          <w:b/>
          <w:sz w:val="24"/>
          <w:szCs w:val="24"/>
        </w:rPr>
        <w:t>i</w:t>
      </w:r>
      <w:proofErr w:type="spellEnd"/>
      <w:r>
        <w:rPr>
          <w:b/>
          <w:sz w:val="24"/>
          <w:szCs w:val="24"/>
        </w:rPr>
        <w:t xml:space="preserve">) </w:t>
      </w:r>
      <w:r w:rsidR="006F6D55" w:rsidRPr="00D52069">
        <w:rPr>
          <w:b/>
          <w:sz w:val="24"/>
          <w:szCs w:val="24"/>
        </w:rPr>
        <w:t>Non Performing loan Ratio</w:t>
      </w:r>
      <w:r w:rsidR="0014176F" w:rsidRPr="00D52069">
        <w:rPr>
          <w:b/>
          <w:sz w:val="24"/>
          <w:szCs w:val="24"/>
        </w:rPr>
        <w:t xml:space="preserve"> (NPL)</w:t>
      </w:r>
    </w:p>
    <w:p w:rsidR="006F6D55" w:rsidRPr="00D52069" w:rsidRDefault="006F6D55" w:rsidP="006F6D55">
      <w:pPr>
        <w:jc w:val="center"/>
        <w:rPr>
          <w:b/>
          <w:sz w:val="24"/>
          <w:szCs w:val="24"/>
        </w:rPr>
      </w:pPr>
      <w:r w:rsidRPr="00D52069">
        <w:rPr>
          <w:b/>
          <w:noProof/>
          <w:sz w:val="24"/>
          <w:szCs w:val="24"/>
        </w:rPr>
        <w:drawing>
          <wp:inline distT="0" distB="0" distL="0" distR="0">
            <wp:extent cx="5489961" cy="2472856"/>
            <wp:effectExtent l="19050" t="0" r="15489" b="3644"/>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bl>
      <w:tblPr>
        <w:tblW w:w="8520" w:type="dxa"/>
        <w:tblInd w:w="95" w:type="dxa"/>
        <w:tblLook w:val="04A0" w:firstRow="1" w:lastRow="0" w:firstColumn="1" w:lastColumn="0" w:noHBand="0" w:noVBand="1"/>
      </w:tblPr>
      <w:tblGrid>
        <w:gridCol w:w="3700"/>
        <w:gridCol w:w="238"/>
        <w:gridCol w:w="703"/>
        <w:gridCol w:w="288"/>
        <w:gridCol w:w="703"/>
        <w:gridCol w:w="250"/>
        <w:gridCol w:w="703"/>
        <w:gridCol w:w="301"/>
        <w:gridCol w:w="703"/>
        <w:gridCol w:w="288"/>
        <w:gridCol w:w="703"/>
      </w:tblGrid>
      <w:tr w:rsidR="002849DD" w:rsidRPr="00D52069" w:rsidTr="002849DD">
        <w:trPr>
          <w:trHeight w:val="288"/>
        </w:trPr>
        <w:tc>
          <w:tcPr>
            <w:tcW w:w="3700" w:type="dxa"/>
            <w:tcBorders>
              <w:top w:val="nil"/>
              <w:left w:val="nil"/>
              <w:bottom w:val="single" w:sz="4" w:space="0" w:color="auto"/>
              <w:right w:val="nil"/>
            </w:tcBorders>
            <w:shd w:val="clear" w:color="auto" w:fill="auto"/>
            <w:noWrap/>
            <w:vAlign w:val="bottom"/>
            <w:hideMark/>
          </w:tcPr>
          <w:p w:rsidR="002849DD" w:rsidRPr="00D52069" w:rsidRDefault="002849DD" w:rsidP="002849DD">
            <w:pPr>
              <w:spacing w:after="0" w:line="240" w:lineRule="auto"/>
              <w:rPr>
                <w:rFonts w:ascii="Calibri" w:eastAsia="Times New Roman" w:hAnsi="Calibri" w:cs="Calibri"/>
                <w:color w:val="000000"/>
                <w:sz w:val="24"/>
                <w:szCs w:val="24"/>
              </w:rPr>
            </w:pPr>
          </w:p>
        </w:tc>
        <w:tc>
          <w:tcPr>
            <w:tcW w:w="238"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39"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2018</w:t>
            </w:r>
          </w:p>
        </w:tc>
        <w:tc>
          <w:tcPr>
            <w:tcW w:w="288"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72"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2017</w:t>
            </w:r>
          </w:p>
        </w:tc>
        <w:tc>
          <w:tcPr>
            <w:tcW w:w="250"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09"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2016</w:t>
            </w:r>
          </w:p>
        </w:tc>
        <w:tc>
          <w:tcPr>
            <w:tcW w:w="301"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63"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2015</w:t>
            </w:r>
          </w:p>
        </w:tc>
        <w:tc>
          <w:tcPr>
            <w:tcW w:w="288"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72"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2014</w:t>
            </w:r>
          </w:p>
        </w:tc>
      </w:tr>
      <w:tr w:rsidR="002849DD" w:rsidRPr="00D52069" w:rsidTr="002849DD">
        <w:trPr>
          <w:trHeight w:val="288"/>
        </w:trPr>
        <w:tc>
          <w:tcPr>
            <w:tcW w:w="3700" w:type="dxa"/>
            <w:tcBorders>
              <w:top w:val="single" w:sz="4" w:space="0" w:color="auto"/>
              <w:left w:val="nil"/>
              <w:bottom w:val="nil"/>
              <w:right w:val="nil"/>
            </w:tcBorders>
            <w:shd w:val="clear" w:color="auto" w:fill="auto"/>
            <w:noWrap/>
            <w:vAlign w:val="bottom"/>
            <w:hideMark/>
          </w:tcPr>
          <w:p w:rsidR="002849DD" w:rsidRPr="00D52069" w:rsidRDefault="002849DD" w:rsidP="002849DD">
            <w:pPr>
              <w:spacing w:after="0" w:line="240" w:lineRule="auto"/>
              <w:rPr>
                <w:rFonts w:ascii="Calibri" w:eastAsia="Times New Roman" w:hAnsi="Calibri" w:cs="Calibri"/>
                <w:color w:val="000000"/>
                <w:sz w:val="24"/>
                <w:szCs w:val="24"/>
              </w:rPr>
            </w:pPr>
            <w:r w:rsidRPr="00D52069">
              <w:rPr>
                <w:rFonts w:ascii="Calibri" w:eastAsia="Times New Roman" w:hAnsi="Calibri" w:cs="Calibri"/>
                <w:color w:val="000000"/>
                <w:sz w:val="24"/>
                <w:szCs w:val="24"/>
              </w:rPr>
              <w:t>NPL Ratio %</w:t>
            </w:r>
          </w:p>
        </w:tc>
        <w:tc>
          <w:tcPr>
            <w:tcW w:w="238"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39"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6.16</w:t>
            </w:r>
          </w:p>
        </w:tc>
        <w:tc>
          <w:tcPr>
            <w:tcW w:w="288"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72"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5.45</w:t>
            </w:r>
          </w:p>
        </w:tc>
        <w:tc>
          <w:tcPr>
            <w:tcW w:w="250"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09"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5.96</w:t>
            </w:r>
          </w:p>
        </w:tc>
        <w:tc>
          <w:tcPr>
            <w:tcW w:w="301"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63"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7.82</w:t>
            </w:r>
          </w:p>
        </w:tc>
        <w:tc>
          <w:tcPr>
            <w:tcW w:w="288"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72"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7.61</w:t>
            </w:r>
          </w:p>
        </w:tc>
      </w:tr>
    </w:tbl>
    <w:p w:rsidR="00A64F3D" w:rsidRPr="00D52069" w:rsidRDefault="00A64F3D" w:rsidP="002849DD">
      <w:pPr>
        <w:rPr>
          <w:b/>
          <w:sz w:val="24"/>
          <w:szCs w:val="24"/>
        </w:rPr>
      </w:pPr>
    </w:p>
    <w:p w:rsidR="00A64F3D" w:rsidRPr="00D52069" w:rsidRDefault="006F6D55" w:rsidP="00CB4544">
      <w:pPr>
        <w:jc w:val="both"/>
        <w:rPr>
          <w:sz w:val="24"/>
          <w:szCs w:val="24"/>
        </w:rPr>
      </w:pPr>
      <w:r w:rsidRPr="00D52069">
        <w:rPr>
          <w:sz w:val="24"/>
          <w:szCs w:val="24"/>
        </w:rPr>
        <w:t>The NPL ratio measures the effectiveness of banks in receiving repayments on its loans.</w:t>
      </w:r>
      <w:r w:rsidR="002357AB" w:rsidRPr="00D52069">
        <w:rPr>
          <w:sz w:val="24"/>
          <w:szCs w:val="24"/>
        </w:rPr>
        <w:t xml:space="preserve"> It is calculated by dividing</w:t>
      </w:r>
      <w:r w:rsidR="008C2B43" w:rsidRPr="00D52069">
        <w:rPr>
          <w:sz w:val="24"/>
          <w:szCs w:val="24"/>
        </w:rPr>
        <w:t xml:space="preserve"> the NPL by the total amount of outstanding loans in bank’s portfolio. </w:t>
      </w:r>
    </w:p>
    <w:p w:rsidR="008C2B43" w:rsidRPr="00D52069" w:rsidRDefault="00802868" w:rsidP="00CB4544">
      <w:pPr>
        <w:jc w:val="both"/>
        <w:rPr>
          <w:sz w:val="24"/>
          <w:szCs w:val="24"/>
        </w:rPr>
      </w:pPr>
      <w:r w:rsidRPr="00D52069">
        <w:rPr>
          <w:sz w:val="24"/>
          <w:szCs w:val="24"/>
        </w:rPr>
        <w:t>From 2015 to 2017 NPL was in declining pattern that indicated efficient management of balance sheet. Later, a</w:t>
      </w:r>
      <w:r w:rsidR="008C2B43" w:rsidRPr="00D52069">
        <w:rPr>
          <w:sz w:val="24"/>
          <w:szCs w:val="24"/>
        </w:rPr>
        <w:t xml:space="preserve"> severe governance crisis cause</w:t>
      </w:r>
      <w:r w:rsidR="007A2415" w:rsidRPr="00D52069">
        <w:rPr>
          <w:sz w:val="24"/>
          <w:szCs w:val="24"/>
        </w:rPr>
        <w:t>d</w:t>
      </w:r>
      <w:r w:rsidR="008C2B43" w:rsidRPr="00D52069">
        <w:rPr>
          <w:sz w:val="24"/>
          <w:szCs w:val="24"/>
        </w:rPr>
        <w:t xml:space="preserve"> the indus</w:t>
      </w:r>
      <w:r w:rsidRPr="00D52069">
        <w:rPr>
          <w:sz w:val="24"/>
          <w:szCs w:val="24"/>
        </w:rPr>
        <w:t>try to face an increase in NPL. NPL ratio increased of Prime Bank and stood at 6.16 % in the year 2018 but it was still much lower than the industry average. Banking sector indicators appeared concerning in 2018 as Gross NPL ratio increased to 10.30% from 9.31 % in 2017. NPL wer</w:t>
      </w:r>
      <w:r w:rsidR="008C2B43" w:rsidRPr="00D52069">
        <w:rPr>
          <w:sz w:val="24"/>
          <w:szCs w:val="24"/>
        </w:rPr>
        <w:t xml:space="preserve">e on the rise in 2018 on the back of the increasing tendency of habitual defaulters </w:t>
      </w:r>
      <w:r w:rsidR="007A2415" w:rsidRPr="00D52069">
        <w:rPr>
          <w:sz w:val="24"/>
          <w:szCs w:val="24"/>
        </w:rPr>
        <w:t xml:space="preserve">to file write petitions </w:t>
      </w:r>
      <w:r w:rsidR="008C2B43" w:rsidRPr="00D52069">
        <w:rPr>
          <w:sz w:val="24"/>
          <w:szCs w:val="24"/>
        </w:rPr>
        <w:t>which stall the loan recovery process.</w:t>
      </w:r>
    </w:p>
    <w:p w:rsidR="008D74BC" w:rsidRDefault="008D74BC" w:rsidP="00D52069">
      <w:pPr>
        <w:rPr>
          <w:b/>
          <w:sz w:val="24"/>
          <w:szCs w:val="24"/>
        </w:rPr>
      </w:pPr>
    </w:p>
    <w:p w:rsidR="00D52069" w:rsidRDefault="00D52069" w:rsidP="00D52069">
      <w:pPr>
        <w:rPr>
          <w:b/>
          <w:sz w:val="24"/>
          <w:szCs w:val="24"/>
        </w:rPr>
      </w:pPr>
    </w:p>
    <w:p w:rsidR="008D74BC" w:rsidRPr="00D52069" w:rsidRDefault="008D74BC" w:rsidP="00DF41C8">
      <w:pPr>
        <w:rPr>
          <w:b/>
          <w:sz w:val="24"/>
          <w:szCs w:val="24"/>
        </w:rPr>
      </w:pPr>
    </w:p>
    <w:p w:rsidR="00C62051" w:rsidRPr="00D52069" w:rsidRDefault="00127653" w:rsidP="00127653">
      <w:pPr>
        <w:rPr>
          <w:b/>
          <w:sz w:val="24"/>
          <w:szCs w:val="24"/>
        </w:rPr>
      </w:pPr>
      <w:r>
        <w:rPr>
          <w:b/>
          <w:sz w:val="24"/>
          <w:szCs w:val="24"/>
        </w:rPr>
        <w:lastRenderedPageBreak/>
        <w:t xml:space="preserve">(ii) </w:t>
      </w:r>
      <w:r w:rsidR="00C62051" w:rsidRPr="00D52069">
        <w:rPr>
          <w:b/>
          <w:sz w:val="24"/>
          <w:szCs w:val="24"/>
        </w:rPr>
        <w:t>Capital Ratio or Capital to Risk Weighted Asset Ratio (CRAR Ratio)</w:t>
      </w:r>
    </w:p>
    <w:p w:rsidR="00C62051" w:rsidRPr="00D52069" w:rsidRDefault="00C62051" w:rsidP="00C62051">
      <w:pPr>
        <w:jc w:val="center"/>
        <w:rPr>
          <w:b/>
          <w:sz w:val="24"/>
          <w:szCs w:val="24"/>
        </w:rPr>
      </w:pPr>
      <w:r w:rsidRPr="00D52069">
        <w:rPr>
          <w:b/>
          <w:noProof/>
          <w:sz w:val="24"/>
          <w:szCs w:val="24"/>
        </w:rPr>
        <w:drawing>
          <wp:inline distT="0" distB="0" distL="0" distR="0">
            <wp:extent cx="5488056" cy="2719346"/>
            <wp:effectExtent l="19050" t="0" r="17394" b="4804"/>
            <wp:docPr id="10"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bl>
      <w:tblPr>
        <w:tblW w:w="8582" w:type="dxa"/>
        <w:tblInd w:w="95" w:type="dxa"/>
        <w:tblLook w:val="04A0" w:firstRow="1" w:lastRow="0" w:firstColumn="1" w:lastColumn="0" w:noHBand="0" w:noVBand="1"/>
      </w:tblPr>
      <w:tblGrid>
        <w:gridCol w:w="3700"/>
        <w:gridCol w:w="363"/>
        <w:gridCol w:w="767"/>
        <w:gridCol w:w="313"/>
        <w:gridCol w:w="767"/>
        <w:gridCol w:w="250"/>
        <w:gridCol w:w="767"/>
        <w:gridCol w:w="263"/>
        <w:gridCol w:w="767"/>
        <w:gridCol w:w="288"/>
        <w:gridCol w:w="767"/>
      </w:tblGrid>
      <w:tr w:rsidR="002849DD" w:rsidRPr="00D52069" w:rsidTr="002849DD">
        <w:trPr>
          <w:trHeight w:val="288"/>
        </w:trPr>
        <w:tc>
          <w:tcPr>
            <w:tcW w:w="3700" w:type="dxa"/>
            <w:tcBorders>
              <w:top w:val="nil"/>
              <w:left w:val="nil"/>
              <w:bottom w:val="single" w:sz="4" w:space="0" w:color="auto"/>
              <w:right w:val="nil"/>
            </w:tcBorders>
            <w:shd w:val="clear" w:color="auto" w:fill="auto"/>
            <w:noWrap/>
            <w:vAlign w:val="bottom"/>
            <w:hideMark/>
          </w:tcPr>
          <w:p w:rsidR="002849DD" w:rsidRPr="00D52069" w:rsidRDefault="002849DD" w:rsidP="002849DD">
            <w:pPr>
              <w:spacing w:after="0" w:line="240" w:lineRule="auto"/>
              <w:rPr>
                <w:rFonts w:ascii="Calibri" w:eastAsia="Times New Roman" w:hAnsi="Calibri" w:cs="Calibri"/>
                <w:color w:val="000000"/>
                <w:sz w:val="24"/>
                <w:szCs w:val="24"/>
              </w:rPr>
            </w:pPr>
          </w:p>
        </w:tc>
        <w:tc>
          <w:tcPr>
            <w:tcW w:w="363"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63"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2018</w:t>
            </w:r>
          </w:p>
        </w:tc>
        <w:tc>
          <w:tcPr>
            <w:tcW w:w="313"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63"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2017</w:t>
            </w:r>
          </w:p>
        </w:tc>
        <w:tc>
          <w:tcPr>
            <w:tcW w:w="250"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10"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2016</w:t>
            </w:r>
          </w:p>
        </w:tc>
        <w:tc>
          <w:tcPr>
            <w:tcW w:w="263"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97"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2015</w:t>
            </w:r>
          </w:p>
        </w:tc>
        <w:tc>
          <w:tcPr>
            <w:tcW w:w="288"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72"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2014</w:t>
            </w:r>
          </w:p>
        </w:tc>
      </w:tr>
      <w:tr w:rsidR="002849DD" w:rsidRPr="00D52069" w:rsidTr="002849DD">
        <w:trPr>
          <w:trHeight w:val="288"/>
        </w:trPr>
        <w:tc>
          <w:tcPr>
            <w:tcW w:w="3700" w:type="dxa"/>
            <w:tcBorders>
              <w:top w:val="single" w:sz="4" w:space="0" w:color="auto"/>
              <w:left w:val="nil"/>
              <w:bottom w:val="nil"/>
              <w:right w:val="nil"/>
            </w:tcBorders>
            <w:shd w:val="clear" w:color="auto" w:fill="auto"/>
            <w:noWrap/>
            <w:vAlign w:val="bottom"/>
            <w:hideMark/>
          </w:tcPr>
          <w:p w:rsidR="002849DD" w:rsidRPr="00D52069" w:rsidRDefault="002849DD" w:rsidP="002849DD">
            <w:pPr>
              <w:spacing w:after="0" w:line="240" w:lineRule="auto"/>
              <w:rPr>
                <w:rFonts w:ascii="Calibri" w:eastAsia="Times New Roman" w:hAnsi="Calibri" w:cs="Calibri"/>
                <w:color w:val="000000"/>
                <w:sz w:val="24"/>
                <w:szCs w:val="24"/>
              </w:rPr>
            </w:pPr>
            <w:r w:rsidRPr="00D52069">
              <w:rPr>
                <w:rFonts w:ascii="Calibri" w:eastAsia="Times New Roman" w:hAnsi="Calibri" w:cs="Calibri"/>
                <w:color w:val="000000"/>
                <w:sz w:val="24"/>
                <w:szCs w:val="24"/>
              </w:rPr>
              <w:t>Capital Ratio  %</w:t>
            </w:r>
          </w:p>
        </w:tc>
        <w:tc>
          <w:tcPr>
            <w:tcW w:w="363"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63" w:type="dxa"/>
            <w:tcBorders>
              <w:top w:val="single" w:sz="4" w:space="0" w:color="auto"/>
              <w:left w:val="single" w:sz="4" w:space="0" w:color="auto"/>
              <w:bottom w:val="nil"/>
              <w:right w:val="nil"/>
            </w:tcBorders>
            <w:shd w:val="clear" w:color="auto" w:fill="auto"/>
            <w:vAlign w:val="bottom"/>
          </w:tcPr>
          <w:p w:rsidR="002849DD" w:rsidRPr="00D52069" w:rsidRDefault="00324CFD" w:rsidP="002849DD">
            <w:pPr>
              <w:spacing w:after="0" w:line="240" w:lineRule="auto"/>
              <w:jc w:val="right"/>
              <w:rPr>
                <w:rFonts w:ascii="Calibri" w:eastAsia="Times New Roman" w:hAnsi="Calibri" w:cs="Calibri"/>
                <w:b/>
                <w:bCs/>
                <w:color w:val="000000"/>
                <w:sz w:val="24"/>
                <w:szCs w:val="24"/>
              </w:rPr>
            </w:pPr>
            <w:r>
              <w:rPr>
                <w:rFonts w:ascii="Calibri" w:eastAsia="Times New Roman" w:hAnsi="Calibri" w:cs="Calibri"/>
                <w:b/>
                <w:bCs/>
                <w:color w:val="000000"/>
                <w:sz w:val="24"/>
                <w:szCs w:val="24"/>
              </w:rPr>
              <w:t>17.04</w:t>
            </w:r>
          </w:p>
        </w:tc>
        <w:tc>
          <w:tcPr>
            <w:tcW w:w="313"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63" w:type="dxa"/>
            <w:tcBorders>
              <w:top w:val="single" w:sz="4" w:space="0" w:color="auto"/>
              <w:left w:val="single" w:sz="4" w:space="0" w:color="auto"/>
              <w:bottom w:val="nil"/>
              <w:right w:val="nil"/>
            </w:tcBorders>
            <w:shd w:val="clear" w:color="auto" w:fill="auto"/>
            <w:vAlign w:val="bottom"/>
          </w:tcPr>
          <w:p w:rsidR="002849DD" w:rsidRPr="00D52069" w:rsidRDefault="00324CFD" w:rsidP="002849DD">
            <w:pPr>
              <w:spacing w:after="0" w:line="240" w:lineRule="auto"/>
              <w:jc w:val="right"/>
              <w:rPr>
                <w:rFonts w:ascii="Calibri" w:eastAsia="Times New Roman" w:hAnsi="Calibri" w:cs="Calibri"/>
                <w:b/>
                <w:bCs/>
                <w:color w:val="000000"/>
                <w:sz w:val="24"/>
                <w:szCs w:val="24"/>
              </w:rPr>
            </w:pPr>
            <w:r>
              <w:rPr>
                <w:rFonts w:ascii="Calibri" w:eastAsia="Times New Roman" w:hAnsi="Calibri" w:cs="Calibri"/>
                <w:b/>
                <w:bCs/>
                <w:color w:val="000000"/>
                <w:sz w:val="24"/>
                <w:szCs w:val="24"/>
              </w:rPr>
              <w:t>14.01</w:t>
            </w:r>
          </w:p>
        </w:tc>
        <w:tc>
          <w:tcPr>
            <w:tcW w:w="250"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10" w:type="dxa"/>
            <w:tcBorders>
              <w:top w:val="single" w:sz="4" w:space="0" w:color="auto"/>
              <w:left w:val="single" w:sz="4" w:space="0" w:color="auto"/>
              <w:bottom w:val="nil"/>
              <w:right w:val="nil"/>
            </w:tcBorders>
            <w:shd w:val="clear" w:color="auto" w:fill="auto"/>
            <w:vAlign w:val="bottom"/>
          </w:tcPr>
          <w:p w:rsidR="002849DD" w:rsidRPr="00D52069" w:rsidRDefault="00324CFD" w:rsidP="002849DD">
            <w:pPr>
              <w:spacing w:after="0" w:line="240" w:lineRule="auto"/>
              <w:jc w:val="right"/>
              <w:rPr>
                <w:rFonts w:ascii="Calibri" w:eastAsia="Times New Roman" w:hAnsi="Calibri" w:cs="Calibri"/>
                <w:b/>
                <w:bCs/>
                <w:color w:val="000000"/>
                <w:sz w:val="24"/>
                <w:szCs w:val="24"/>
              </w:rPr>
            </w:pPr>
            <w:r>
              <w:rPr>
                <w:rFonts w:ascii="Calibri" w:eastAsia="Times New Roman" w:hAnsi="Calibri" w:cs="Calibri"/>
                <w:b/>
                <w:bCs/>
                <w:color w:val="000000"/>
                <w:sz w:val="24"/>
                <w:szCs w:val="24"/>
              </w:rPr>
              <w:t>12.45</w:t>
            </w:r>
          </w:p>
        </w:tc>
        <w:tc>
          <w:tcPr>
            <w:tcW w:w="263"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97" w:type="dxa"/>
            <w:tcBorders>
              <w:top w:val="single" w:sz="4" w:space="0" w:color="auto"/>
              <w:left w:val="single" w:sz="4" w:space="0" w:color="auto"/>
              <w:bottom w:val="nil"/>
              <w:right w:val="nil"/>
            </w:tcBorders>
            <w:shd w:val="clear" w:color="auto" w:fill="auto"/>
            <w:vAlign w:val="bottom"/>
          </w:tcPr>
          <w:p w:rsidR="002849DD" w:rsidRPr="00D52069" w:rsidRDefault="00324CFD" w:rsidP="002849DD">
            <w:pPr>
              <w:spacing w:after="0" w:line="240" w:lineRule="auto"/>
              <w:jc w:val="right"/>
              <w:rPr>
                <w:rFonts w:ascii="Calibri" w:eastAsia="Times New Roman" w:hAnsi="Calibri" w:cs="Calibri"/>
                <w:b/>
                <w:bCs/>
                <w:color w:val="000000"/>
                <w:sz w:val="24"/>
                <w:szCs w:val="24"/>
              </w:rPr>
            </w:pPr>
            <w:r>
              <w:rPr>
                <w:rFonts w:ascii="Calibri" w:eastAsia="Times New Roman" w:hAnsi="Calibri" w:cs="Calibri"/>
                <w:b/>
                <w:bCs/>
                <w:color w:val="000000"/>
                <w:sz w:val="24"/>
                <w:szCs w:val="24"/>
              </w:rPr>
              <w:t>12.74</w:t>
            </w:r>
          </w:p>
        </w:tc>
        <w:tc>
          <w:tcPr>
            <w:tcW w:w="288"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72" w:type="dxa"/>
            <w:tcBorders>
              <w:top w:val="single" w:sz="4" w:space="0" w:color="auto"/>
              <w:left w:val="single" w:sz="4" w:space="0" w:color="auto"/>
              <w:bottom w:val="nil"/>
              <w:right w:val="nil"/>
            </w:tcBorders>
            <w:shd w:val="clear" w:color="auto" w:fill="auto"/>
            <w:vAlign w:val="bottom"/>
          </w:tcPr>
          <w:p w:rsidR="002849DD" w:rsidRPr="00D52069" w:rsidRDefault="00324CFD" w:rsidP="002849DD">
            <w:pPr>
              <w:spacing w:after="0" w:line="240" w:lineRule="auto"/>
              <w:jc w:val="right"/>
              <w:rPr>
                <w:rFonts w:ascii="Calibri" w:eastAsia="Times New Roman" w:hAnsi="Calibri" w:cs="Calibri"/>
                <w:b/>
                <w:bCs/>
                <w:color w:val="000000"/>
                <w:sz w:val="24"/>
                <w:szCs w:val="24"/>
              </w:rPr>
            </w:pPr>
            <w:r>
              <w:rPr>
                <w:rFonts w:ascii="Calibri" w:eastAsia="Times New Roman" w:hAnsi="Calibri" w:cs="Calibri"/>
                <w:b/>
                <w:bCs/>
                <w:color w:val="000000"/>
                <w:sz w:val="24"/>
                <w:szCs w:val="24"/>
              </w:rPr>
              <w:t>12.71</w:t>
            </w:r>
          </w:p>
        </w:tc>
      </w:tr>
    </w:tbl>
    <w:p w:rsidR="002849DD" w:rsidRPr="00D52069" w:rsidRDefault="002849DD" w:rsidP="002849DD">
      <w:pPr>
        <w:rPr>
          <w:b/>
          <w:sz w:val="24"/>
          <w:szCs w:val="24"/>
        </w:rPr>
      </w:pPr>
    </w:p>
    <w:p w:rsidR="00D52069" w:rsidRDefault="00D52069" w:rsidP="00C62051">
      <w:pPr>
        <w:rPr>
          <w:sz w:val="24"/>
          <w:szCs w:val="24"/>
        </w:rPr>
      </w:pPr>
    </w:p>
    <w:p w:rsidR="00C62051" w:rsidRPr="00D52069" w:rsidRDefault="00C62051" w:rsidP="00CB4544">
      <w:pPr>
        <w:jc w:val="both"/>
        <w:rPr>
          <w:sz w:val="24"/>
          <w:szCs w:val="24"/>
        </w:rPr>
      </w:pPr>
      <w:r w:rsidRPr="00D52069">
        <w:rPr>
          <w:sz w:val="24"/>
          <w:szCs w:val="24"/>
        </w:rPr>
        <w:t>Capital Ratio or Capital to Risk Weighted Asset Ratio (CRAR) also known as Capital Adequacy Ratio (CAR) is used to protect depositors and promote the stability and efficiency of financial system. It is calculated by dividing a bank’s capital by its risk weighted assets. The capital used to calculate CRAR is divided in two tiers. Tier I and Tier II. Tier I capital is the going concern capital and Tier II capital is gone concern capital. As per based III guideline banks are required to maintain a total capital ratio of 10% including common equity Tier I Capital Ratio of 4.50%. There are some phase in arrangements for the Basel III implementation by the Bangladesh Bank which allow the banks to maintain CRAR at 11.25% 11.875</w:t>
      </w:r>
      <w:proofErr w:type="gramStart"/>
      <w:r w:rsidRPr="00D52069">
        <w:rPr>
          <w:sz w:val="24"/>
          <w:szCs w:val="24"/>
        </w:rPr>
        <w:t>%  by</w:t>
      </w:r>
      <w:proofErr w:type="gramEnd"/>
      <w:r w:rsidRPr="00D52069">
        <w:rPr>
          <w:sz w:val="24"/>
          <w:szCs w:val="24"/>
        </w:rPr>
        <w:t xml:space="preserve"> the end of 2017 and 2018 respectively. </w:t>
      </w:r>
    </w:p>
    <w:p w:rsidR="00C62051" w:rsidRPr="00D52069" w:rsidRDefault="00C62051" w:rsidP="00CB4544">
      <w:pPr>
        <w:jc w:val="both"/>
        <w:rPr>
          <w:sz w:val="24"/>
          <w:szCs w:val="24"/>
        </w:rPr>
      </w:pPr>
      <w:r w:rsidRPr="00D52069">
        <w:rPr>
          <w:sz w:val="24"/>
          <w:szCs w:val="24"/>
        </w:rPr>
        <w:t>CRAR= Tier I capital + Tier II capital/Total Risk weighted Assets</w:t>
      </w:r>
    </w:p>
    <w:p w:rsidR="00C62051" w:rsidRDefault="00C62051" w:rsidP="00CB4544">
      <w:pPr>
        <w:jc w:val="both"/>
        <w:rPr>
          <w:sz w:val="24"/>
          <w:szCs w:val="24"/>
        </w:rPr>
      </w:pPr>
      <w:r w:rsidRPr="00D52069">
        <w:rPr>
          <w:sz w:val="24"/>
          <w:szCs w:val="24"/>
        </w:rPr>
        <w:t xml:space="preserve">Interpretation: Prime Bank has already been able to maintain CRAR at 17.04% at the end of 2018. </w:t>
      </w:r>
    </w:p>
    <w:p w:rsidR="00625224" w:rsidRDefault="00625224" w:rsidP="00C62051">
      <w:pPr>
        <w:rPr>
          <w:sz w:val="24"/>
          <w:szCs w:val="24"/>
        </w:rPr>
      </w:pPr>
    </w:p>
    <w:p w:rsidR="00625224" w:rsidRPr="00D52069" w:rsidRDefault="00625224" w:rsidP="00C62051">
      <w:pPr>
        <w:rPr>
          <w:sz w:val="24"/>
          <w:szCs w:val="24"/>
        </w:rPr>
      </w:pPr>
    </w:p>
    <w:p w:rsidR="00D52069" w:rsidRPr="00D52069" w:rsidRDefault="00D52069" w:rsidP="00D52069">
      <w:pPr>
        <w:rPr>
          <w:b/>
          <w:sz w:val="24"/>
          <w:szCs w:val="24"/>
        </w:rPr>
      </w:pPr>
    </w:p>
    <w:p w:rsidR="008D1571" w:rsidRPr="00DF41C8" w:rsidRDefault="00127653" w:rsidP="00127653">
      <w:pPr>
        <w:rPr>
          <w:b/>
          <w:sz w:val="24"/>
          <w:szCs w:val="24"/>
        </w:rPr>
      </w:pPr>
      <w:r>
        <w:rPr>
          <w:b/>
          <w:sz w:val="24"/>
          <w:szCs w:val="24"/>
        </w:rPr>
        <w:lastRenderedPageBreak/>
        <w:t xml:space="preserve">(iii) </w:t>
      </w:r>
      <w:r w:rsidR="00686300" w:rsidRPr="00D52069">
        <w:rPr>
          <w:b/>
          <w:sz w:val="24"/>
          <w:szCs w:val="24"/>
        </w:rPr>
        <w:t xml:space="preserve">Asset </w:t>
      </w:r>
      <w:r w:rsidR="008D1571" w:rsidRPr="00D52069">
        <w:rPr>
          <w:b/>
          <w:sz w:val="24"/>
          <w:szCs w:val="24"/>
        </w:rPr>
        <w:t>Management</w:t>
      </w:r>
      <w:r w:rsidR="00686300" w:rsidRPr="00D52069">
        <w:rPr>
          <w:b/>
          <w:sz w:val="24"/>
          <w:szCs w:val="24"/>
        </w:rPr>
        <w:t xml:space="preserve"> Ratio</w:t>
      </w:r>
    </w:p>
    <w:p w:rsidR="008D1571" w:rsidRPr="00D52069" w:rsidRDefault="008D1571" w:rsidP="00686300">
      <w:pPr>
        <w:rPr>
          <w:sz w:val="24"/>
          <w:szCs w:val="24"/>
        </w:rPr>
      </w:pPr>
      <w:r w:rsidRPr="00D52069">
        <w:rPr>
          <w:noProof/>
          <w:sz w:val="24"/>
          <w:szCs w:val="24"/>
        </w:rPr>
        <w:drawing>
          <wp:inline distT="0" distB="0" distL="0" distR="0">
            <wp:extent cx="5486400" cy="3200400"/>
            <wp:effectExtent l="19050" t="0" r="1905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bl>
      <w:tblPr>
        <w:tblW w:w="8739" w:type="dxa"/>
        <w:tblInd w:w="95" w:type="dxa"/>
        <w:tblLook w:val="04A0" w:firstRow="1" w:lastRow="0" w:firstColumn="1" w:lastColumn="0" w:noHBand="0" w:noVBand="1"/>
      </w:tblPr>
      <w:tblGrid>
        <w:gridCol w:w="3700"/>
        <w:gridCol w:w="376"/>
        <w:gridCol w:w="703"/>
        <w:gridCol w:w="236"/>
        <w:gridCol w:w="758"/>
        <w:gridCol w:w="236"/>
        <w:gridCol w:w="787"/>
        <w:gridCol w:w="236"/>
        <w:gridCol w:w="729"/>
        <w:gridCol w:w="275"/>
        <w:gridCol w:w="703"/>
      </w:tblGrid>
      <w:tr w:rsidR="008D1571" w:rsidRPr="00D52069" w:rsidTr="008D1571">
        <w:trPr>
          <w:trHeight w:val="288"/>
        </w:trPr>
        <w:tc>
          <w:tcPr>
            <w:tcW w:w="3700" w:type="dxa"/>
            <w:tcBorders>
              <w:top w:val="nil"/>
              <w:left w:val="nil"/>
              <w:bottom w:val="single" w:sz="4" w:space="0" w:color="auto"/>
              <w:right w:val="nil"/>
            </w:tcBorders>
            <w:shd w:val="clear" w:color="auto" w:fill="auto"/>
            <w:noWrap/>
            <w:vAlign w:val="bottom"/>
            <w:hideMark/>
          </w:tcPr>
          <w:p w:rsidR="008D1571" w:rsidRPr="00D52069" w:rsidRDefault="008D1571" w:rsidP="008D1571">
            <w:pPr>
              <w:spacing w:after="0" w:line="240" w:lineRule="auto"/>
              <w:rPr>
                <w:rFonts w:ascii="Calibri" w:eastAsia="Times New Roman" w:hAnsi="Calibri" w:cs="Calibri"/>
                <w:color w:val="000000"/>
                <w:sz w:val="24"/>
                <w:szCs w:val="24"/>
              </w:rPr>
            </w:pPr>
          </w:p>
        </w:tc>
        <w:tc>
          <w:tcPr>
            <w:tcW w:w="376" w:type="dxa"/>
            <w:tcBorders>
              <w:top w:val="nil"/>
              <w:left w:val="nil"/>
              <w:bottom w:val="single" w:sz="4" w:space="0" w:color="auto"/>
              <w:right w:val="single" w:sz="4" w:space="0" w:color="auto"/>
            </w:tcBorders>
            <w:shd w:val="clear" w:color="auto" w:fill="auto"/>
            <w:noWrap/>
            <w:vAlign w:val="bottom"/>
            <w:hideMark/>
          </w:tcPr>
          <w:p w:rsidR="008D1571" w:rsidRPr="00D52069" w:rsidRDefault="008D1571" w:rsidP="008D1571">
            <w:pPr>
              <w:spacing w:after="0" w:line="240" w:lineRule="auto"/>
              <w:jc w:val="right"/>
              <w:rPr>
                <w:rFonts w:ascii="Calibri" w:eastAsia="Times New Roman" w:hAnsi="Calibri" w:cs="Calibri"/>
                <w:b/>
                <w:bCs/>
                <w:color w:val="000000"/>
                <w:sz w:val="24"/>
                <w:szCs w:val="24"/>
              </w:rPr>
            </w:pPr>
          </w:p>
        </w:tc>
        <w:tc>
          <w:tcPr>
            <w:tcW w:w="604" w:type="dxa"/>
            <w:tcBorders>
              <w:top w:val="nil"/>
              <w:left w:val="single" w:sz="4" w:space="0" w:color="auto"/>
              <w:bottom w:val="single" w:sz="4" w:space="0" w:color="auto"/>
              <w:right w:val="nil"/>
            </w:tcBorders>
            <w:shd w:val="clear" w:color="auto" w:fill="auto"/>
            <w:vAlign w:val="bottom"/>
          </w:tcPr>
          <w:p w:rsidR="008D1571" w:rsidRPr="00D52069" w:rsidRDefault="008D1571" w:rsidP="008D1571">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2018</w:t>
            </w:r>
          </w:p>
        </w:tc>
        <w:tc>
          <w:tcPr>
            <w:tcW w:w="236" w:type="dxa"/>
            <w:tcBorders>
              <w:top w:val="nil"/>
              <w:left w:val="nil"/>
              <w:bottom w:val="single" w:sz="4" w:space="0" w:color="auto"/>
              <w:right w:val="single" w:sz="4" w:space="0" w:color="auto"/>
            </w:tcBorders>
            <w:shd w:val="clear" w:color="auto" w:fill="auto"/>
            <w:noWrap/>
            <w:vAlign w:val="bottom"/>
            <w:hideMark/>
          </w:tcPr>
          <w:p w:rsidR="008D1571" w:rsidRPr="00D52069" w:rsidRDefault="008D1571" w:rsidP="008D1571">
            <w:pPr>
              <w:spacing w:after="0" w:line="240" w:lineRule="auto"/>
              <w:jc w:val="right"/>
              <w:rPr>
                <w:rFonts w:ascii="Calibri" w:eastAsia="Times New Roman" w:hAnsi="Calibri" w:cs="Calibri"/>
                <w:b/>
                <w:bCs/>
                <w:color w:val="000000"/>
                <w:sz w:val="24"/>
                <w:szCs w:val="24"/>
              </w:rPr>
            </w:pPr>
          </w:p>
        </w:tc>
        <w:tc>
          <w:tcPr>
            <w:tcW w:w="797" w:type="dxa"/>
            <w:tcBorders>
              <w:top w:val="nil"/>
              <w:left w:val="single" w:sz="4" w:space="0" w:color="auto"/>
              <w:bottom w:val="single" w:sz="4" w:space="0" w:color="auto"/>
              <w:right w:val="nil"/>
            </w:tcBorders>
            <w:shd w:val="clear" w:color="auto" w:fill="auto"/>
            <w:vAlign w:val="bottom"/>
          </w:tcPr>
          <w:p w:rsidR="008D1571" w:rsidRPr="00D52069" w:rsidRDefault="008D1571" w:rsidP="008D1571">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2017</w:t>
            </w:r>
          </w:p>
        </w:tc>
        <w:tc>
          <w:tcPr>
            <w:tcW w:w="236" w:type="dxa"/>
            <w:tcBorders>
              <w:top w:val="nil"/>
              <w:left w:val="nil"/>
              <w:bottom w:val="single" w:sz="4" w:space="0" w:color="auto"/>
              <w:right w:val="single" w:sz="4" w:space="0" w:color="auto"/>
            </w:tcBorders>
            <w:shd w:val="clear" w:color="auto" w:fill="auto"/>
            <w:noWrap/>
            <w:vAlign w:val="bottom"/>
            <w:hideMark/>
          </w:tcPr>
          <w:p w:rsidR="008D1571" w:rsidRPr="00D52069" w:rsidRDefault="008D1571" w:rsidP="008D1571">
            <w:pPr>
              <w:spacing w:after="0" w:line="240" w:lineRule="auto"/>
              <w:jc w:val="right"/>
              <w:rPr>
                <w:rFonts w:ascii="Calibri" w:eastAsia="Times New Roman" w:hAnsi="Calibri" w:cs="Calibri"/>
                <w:b/>
                <w:bCs/>
                <w:color w:val="000000"/>
                <w:sz w:val="24"/>
                <w:szCs w:val="24"/>
              </w:rPr>
            </w:pPr>
          </w:p>
        </w:tc>
        <w:tc>
          <w:tcPr>
            <w:tcW w:w="847" w:type="dxa"/>
            <w:tcBorders>
              <w:top w:val="nil"/>
              <w:left w:val="single" w:sz="4" w:space="0" w:color="auto"/>
              <w:bottom w:val="single" w:sz="4" w:space="0" w:color="auto"/>
              <w:right w:val="nil"/>
            </w:tcBorders>
            <w:shd w:val="clear" w:color="auto" w:fill="auto"/>
            <w:vAlign w:val="bottom"/>
          </w:tcPr>
          <w:p w:rsidR="008D1571" w:rsidRPr="00D52069" w:rsidRDefault="008D1571" w:rsidP="008D1571">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2016</w:t>
            </w:r>
          </w:p>
        </w:tc>
        <w:tc>
          <w:tcPr>
            <w:tcW w:w="236" w:type="dxa"/>
            <w:tcBorders>
              <w:top w:val="nil"/>
              <w:left w:val="nil"/>
              <w:bottom w:val="single" w:sz="4" w:space="0" w:color="auto"/>
              <w:right w:val="single" w:sz="4" w:space="0" w:color="auto"/>
            </w:tcBorders>
            <w:shd w:val="clear" w:color="auto" w:fill="auto"/>
            <w:noWrap/>
            <w:vAlign w:val="bottom"/>
            <w:hideMark/>
          </w:tcPr>
          <w:p w:rsidR="008D1571" w:rsidRPr="00D52069" w:rsidRDefault="008D1571" w:rsidP="008D1571">
            <w:pPr>
              <w:spacing w:after="0" w:line="240" w:lineRule="auto"/>
              <w:jc w:val="right"/>
              <w:rPr>
                <w:rFonts w:ascii="Calibri" w:eastAsia="Times New Roman" w:hAnsi="Calibri" w:cs="Calibri"/>
                <w:b/>
                <w:bCs/>
                <w:color w:val="000000"/>
                <w:sz w:val="24"/>
                <w:szCs w:val="24"/>
              </w:rPr>
            </w:pPr>
          </w:p>
        </w:tc>
        <w:tc>
          <w:tcPr>
            <w:tcW w:w="747" w:type="dxa"/>
            <w:tcBorders>
              <w:top w:val="nil"/>
              <w:left w:val="single" w:sz="4" w:space="0" w:color="auto"/>
              <w:bottom w:val="single" w:sz="4" w:space="0" w:color="auto"/>
              <w:right w:val="nil"/>
            </w:tcBorders>
            <w:shd w:val="clear" w:color="auto" w:fill="auto"/>
            <w:vAlign w:val="bottom"/>
          </w:tcPr>
          <w:p w:rsidR="008D1571" w:rsidRPr="00D52069" w:rsidRDefault="008D1571" w:rsidP="008D1571">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2015</w:t>
            </w:r>
          </w:p>
        </w:tc>
        <w:tc>
          <w:tcPr>
            <w:tcW w:w="275" w:type="dxa"/>
            <w:tcBorders>
              <w:top w:val="nil"/>
              <w:left w:val="nil"/>
              <w:bottom w:val="single" w:sz="4" w:space="0" w:color="auto"/>
              <w:right w:val="single" w:sz="4" w:space="0" w:color="auto"/>
            </w:tcBorders>
            <w:shd w:val="clear" w:color="auto" w:fill="auto"/>
            <w:noWrap/>
            <w:vAlign w:val="bottom"/>
            <w:hideMark/>
          </w:tcPr>
          <w:p w:rsidR="008D1571" w:rsidRPr="00D52069" w:rsidRDefault="008D1571" w:rsidP="008D1571">
            <w:pPr>
              <w:spacing w:after="0" w:line="240" w:lineRule="auto"/>
              <w:jc w:val="right"/>
              <w:rPr>
                <w:rFonts w:ascii="Calibri" w:eastAsia="Times New Roman" w:hAnsi="Calibri" w:cs="Calibri"/>
                <w:b/>
                <w:bCs/>
                <w:color w:val="000000"/>
                <w:sz w:val="24"/>
                <w:szCs w:val="24"/>
              </w:rPr>
            </w:pPr>
          </w:p>
        </w:tc>
        <w:tc>
          <w:tcPr>
            <w:tcW w:w="685" w:type="dxa"/>
            <w:tcBorders>
              <w:top w:val="nil"/>
              <w:left w:val="single" w:sz="4" w:space="0" w:color="auto"/>
              <w:bottom w:val="single" w:sz="4" w:space="0" w:color="auto"/>
              <w:right w:val="nil"/>
            </w:tcBorders>
            <w:shd w:val="clear" w:color="auto" w:fill="auto"/>
            <w:vAlign w:val="bottom"/>
          </w:tcPr>
          <w:p w:rsidR="008D1571" w:rsidRPr="00D52069" w:rsidRDefault="008D1571" w:rsidP="008D1571">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2014</w:t>
            </w:r>
          </w:p>
        </w:tc>
      </w:tr>
      <w:tr w:rsidR="008D1571" w:rsidRPr="00D52069" w:rsidTr="008D1571">
        <w:trPr>
          <w:trHeight w:val="288"/>
        </w:trPr>
        <w:tc>
          <w:tcPr>
            <w:tcW w:w="3700" w:type="dxa"/>
            <w:tcBorders>
              <w:top w:val="single" w:sz="4" w:space="0" w:color="auto"/>
              <w:left w:val="nil"/>
              <w:bottom w:val="nil"/>
              <w:right w:val="nil"/>
            </w:tcBorders>
            <w:shd w:val="clear" w:color="auto" w:fill="auto"/>
            <w:noWrap/>
            <w:vAlign w:val="bottom"/>
            <w:hideMark/>
          </w:tcPr>
          <w:p w:rsidR="008D1571" w:rsidRPr="00D52069" w:rsidRDefault="008D1571" w:rsidP="008D1571">
            <w:pPr>
              <w:spacing w:after="0" w:line="240" w:lineRule="auto"/>
              <w:rPr>
                <w:rFonts w:ascii="Calibri" w:eastAsia="Times New Roman" w:hAnsi="Calibri" w:cs="Calibri"/>
                <w:color w:val="000000"/>
                <w:sz w:val="24"/>
                <w:szCs w:val="24"/>
              </w:rPr>
            </w:pPr>
            <w:r w:rsidRPr="00D52069">
              <w:rPr>
                <w:rFonts w:ascii="Calibri" w:eastAsia="Times New Roman" w:hAnsi="Calibri" w:cs="Calibri"/>
                <w:color w:val="000000"/>
                <w:sz w:val="24"/>
                <w:szCs w:val="24"/>
              </w:rPr>
              <w:t>Asset Management Ratio %</w:t>
            </w:r>
          </w:p>
        </w:tc>
        <w:tc>
          <w:tcPr>
            <w:tcW w:w="376" w:type="dxa"/>
            <w:tcBorders>
              <w:top w:val="single" w:sz="4" w:space="0" w:color="auto"/>
              <w:left w:val="nil"/>
              <w:bottom w:val="nil"/>
              <w:right w:val="single" w:sz="4" w:space="0" w:color="auto"/>
            </w:tcBorders>
            <w:shd w:val="clear" w:color="auto" w:fill="auto"/>
            <w:noWrap/>
            <w:vAlign w:val="bottom"/>
            <w:hideMark/>
          </w:tcPr>
          <w:p w:rsidR="008D1571" w:rsidRPr="00D52069" w:rsidRDefault="008D1571" w:rsidP="008D1571">
            <w:pPr>
              <w:spacing w:after="0" w:line="240" w:lineRule="auto"/>
              <w:jc w:val="right"/>
              <w:rPr>
                <w:rFonts w:ascii="Calibri" w:eastAsia="Times New Roman" w:hAnsi="Calibri" w:cs="Calibri"/>
                <w:b/>
                <w:bCs/>
                <w:color w:val="000000"/>
                <w:sz w:val="24"/>
                <w:szCs w:val="24"/>
              </w:rPr>
            </w:pPr>
          </w:p>
        </w:tc>
        <w:tc>
          <w:tcPr>
            <w:tcW w:w="604" w:type="dxa"/>
            <w:tcBorders>
              <w:top w:val="single" w:sz="4" w:space="0" w:color="auto"/>
              <w:left w:val="single" w:sz="4" w:space="0" w:color="auto"/>
              <w:bottom w:val="nil"/>
              <w:right w:val="nil"/>
            </w:tcBorders>
            <w:shd w:val="clear" w:color="auto" w:fill="auto"/>
            <w:vAlign w:val="bottom"/>
          </w:tcPr>
          <w:p w:rsidR="008D1571" w:rsidRPr="00D52069" w:rsidRDefault="008D1571" w:rsidP="008D1571">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4.38</w:t>
            </w:r>
          </w:p>
        </w:tc>
        <w:tc>
          <w:tcPr>
            <w:tcW w:w="236" w:type="dxa"/>
            <w:tcBorders>
              <w:top w:val="single" w:sz="4" w:space="0" w:color="auto"/>
              <w:left w:val="nil"/>
              <w:bottom w:val="nil"/>
              <w:right w:val="single" w:sz="4" w:space="0" w:color="auto"/>
            </w:tcBorders>
            <w:shd w:val="clear" w:color="auto" w:fill="auto"/>
            <w:noWrap/>
            <w:vAlign w:val="bottom"/>
            <w:hideMark/>
          </w:tcPr>
          <w:p w:rsidR="008D1571" w:rsidRPr="00D52069" w:rsidRDefault="008D1571" w:rsidP="008D1571">
            <w:pPr>
              <w:spacing w:after="0" w:line="240" w:lineRule="auto"/>
              <w:jc w:val="right"/>
              <w:rPr>
                <w:rFonts w:ascii="Calibri" w:eastAsia="Times New Roman" w:hAnsi="Calibri" w:cs="Calibri"/>
                <w:b/>
                <w:bCs/>
                <w:color w:val="000000"/>
                <w:sz w:val="24"/>
                <w:szCs w:val="24"/>
              </w:rPr>
            </w:pPr>
          </w:p>
        </w:tc>
        <w:tc>
          <w:tcPr>
            <w:tcW w:w="797" w:type="dxa"/>
            <w:tcBorders>
              <w:top w:val="single" w:sz="4" w:space="0" w:color="auto"/>
              <w:left w:val="single" w:sz="4" w:space="0" w:color="auto"/>
              <w:bottom w:val="nil"/>
              <w:right w:val="nil"/>
            </w:tcBorders>
            <w:shd w:val="clear" w:color="auto" w:fill="auto"/>
            <w:vAlign w:val="bottom"/>
          </w:tcPr>
          <w:p w:rsidR="008D1571" w:rsidRPr="00D52069" w:rsidRDefault="008D1571" w:rsidP="008D1571">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4.31</w:t>
            </w:r>
          </w:p>
        </w:tc>
        <w:tc>
          <w:tcPr>
            <w:tcW w:w="236" w:type="dxa"/>
            <w:tcBorders>
              <w:top w:val="single" w:sz="4" w:space="0" w:color="auto"/>
              <w:left w:val="nil"/>
              <w:bottom w:val="nil"/>
              <w:right w:val="single" w:sz="4" w:space="0" w:color="auto"/>
            </w:tcBorders>
            <w:shd w:val="clear" w:color="auto" w:fill="auto"/>
            <w:noWrap/>
            <w:vAlign w:val="bottom"/>
            <w:hideMark/>
          </w:tcPr>
          <w:p w:rsidR="008D1571" w:rsidRPr="00D52069" w:rsidRDefault="008D1571" w:rsidP="008D1571">
            <w:pPr>
              <w:spacing w:after="0" w:line="240" w:lineRule="auto"/>
              <w:jc w:val="right"/>
              <w:rPr>
                <w:rFonts w:ascii="Calibri" w:eastAsia="Times New Roman" w:hAnsi="Calibri" w:cs="Calibri"/>
                <w:b/>
                <w:bCs/>
                <w:color w:val="000000"/>
                <w:sz w:val="24"/>
                <w:szCs w:val="24"/>
              </w:rPr>
            </w:pPr>
          </w:p>
        </w:tc>
        <w:tc>
          <w:tcPr>
            <w:tcW w:w="847" w:type="dxa"/>
            <w:tcBorders>
              <w:top w:val="single" w:sz="4" w:space="0" w:color="auto"/>
              <w:left w:val="single" w:sz="4" w:space="0" w:color="auto"/>
              <w:bottom w:val="nil"/>
              <w:right w:val="nil"/>
            </w:tcBorders>
            <w:shd w:val="clear" w:color="auto" w:fill="auto"/>
            <w:vAlign w:val="bottom"/>
          </w:tcPr>
          <w:p w:rsidR="008D1571" w:rsidRPr="00D52069" w:rsidRDefault="008D1571" w:rsidP="008D1571">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4.41</w:t>
            </w:r>
          </w:p>
        </w:tc>
        <w:tc>
          <w:tcPr>
            <w:tcW w:w="236" w:type="dxa"/>
            <w:tcBorders>
              <w:top w:val="single" w:sz="4" w:space="0" w:color="auto"/>
              <w:left w:val="nil"/>
              <w:bottom w:val="nil"/>
              <w:right w:val="single" w:sz="4" w:space="0" w:color="auto"/>
            </w:tcBorders>
            <w:shd w:val="clear" w:color="auto" w:fill="auto"/>
            <w:noWrap/>
            <w:vAlign w:val="bottom"/>
            <w:hideMark/>
          </w:tcPr>
          <w:p w:rsidR="008D1571" w:rsidRPr="00D52069" w:rsidRDefault="008D1571" w:rsidP="008D1571">
            <w:pPr>
              <w:spacing w:after="0" w:line="240" w:lineRule="auto"/>
              <w:jc w:val="right"/>
              <w:rPr>
                <w:rFonts w:ascii="Calibri" w:eastAsia="Times New Roman" w:hAnsi="Calibri" w:cs="Calibri"/>
                <w:b/>
                <w:bCs/>
                <w:color w:val="000000"/>
                <w:sz w:val="24"/>
                <w:szCs w:val="24"/>
              </w:rPr>
            </w:pPr>
          </w:p>
        </w:tc>
        <w:tc>
          <w:tcPr>
            <w:tcW w:w="747" w:type="dxa"/>
            <w:tcBorders>
              <w:top w:val="single" w:sz="4" w:space="0" w:color="auto"/>
              <w:left w:val="single" w:sz="4" w:space="0" w:color="auto"/>
              <w:bottom w:val="nil"/>
              <w:right w:val="nil"/>
            </w:tcBorders>
            <w:shd w:val="clear" w:color="auto" w:fill="auto"/>
            <w:vAlign w:val="bottom"/>
          </w:tcPr>
          <w:p w:rsidR="008D1571" w:rsidRPr="00D52069" w:rsidRDefault="008D1571" w:rsidP="008D1571">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4.51</w:t>
            </w:r>
          </w:p>
        </w:tc>
        <w:tc>
          <w:tcPr>
            <w:tcW w:w="275" w:type="dxa"/>
            <w:tcBorders>
              <w:top w:val="single" w:sz="4" w:space="0" w:color="auto"/>
              <w:left w:val="nil"/>
              <w:bottom w:val="nil"/>
              <w:right w:val="single" w:sz="4" w:space="0" w:color="auto"/>
            </w:tcBorders>
            <w:shd w:val="clear" w:color="auto" w:fill="auto"/>
            <w:noWrap/>
            <w:vAlign w:val="bottom"/>
            <w:hideMark/>
          </w:tcPr>
          <w:p w:rsidR="008D1571" w:rsidRPr="00D52069" w:rsidRDefault="008D1571" w:rsidP="008D1571">
            <w:pPr>
              <w:spacing w:after="0" w:line="240" w:lineRule="auto"/>
              <w:jc w:val="right"/>
              <w:rPr>
                <w:rFonts w:ascii="Calibri" w:eastAsia="Times New Roman" w:hAnsi="Calibri" w:cs="Calibri"/>
                <w:b/>
                <w:bCs/>
                <w:color w:val="000000"/>
                <w:sz w:val="24"/>
                <w:szCs w:val="24"/>
              </w:rPr>
            </w:pPr>
          </w:p>
        </w:tc>
        <w:tc>
          <w:tcPr>
            <w:tcW w:w="685" w:type="dxa"/>
            <w:tcBorders>
              <w:top w:val="single" w:sz="4" w:space="0" w:color="auto"/>
              <w:left w:val="single" w:sz="4" w:space="0" w:color="auto"/>
              <w:bottom w:val="nil"/>
              <w:right w:val="nil"/>
            </w:tcBorders>
            <w:shd w:val="clear" w:color="auto" w:fill="auto"/>
            <w:vAlign w:val="bottom"/>
          </w:tcPr>
          <w:p w:rsidR="008D1571" w:rsidRPr="00D52069" w:rsidRDefault="008D1571" w:rsidP="008D1571">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4.42</w:t>
            </w:r>
          </w:p>
        </w:tc>
      </w:tr>
    </w:tbl>
    <w:p w:rsidR="006F6D55" w:rsidRPr="00D52069" w:rsidRDefault="006F6D55" w:rsidP="008D1571">
      <w:pPr>
        <w:rPr>
          <w:b/>
          <w:sz w:val="24"/>
          <w:szCs w:val="24"/>
        </w:rPr>
      </w:pPr>
    </w:p>
    <w:p w:rsidR="00DF41C8" w:rsidRPr="00D52069" w:rsidRDefault="00DF41C8" w:rsidP="00CB4544">
      <w:pPr>
        <w:jc w:val="both"/>
        <w:rPr>
          <w:sz w:val="24"/>
          <w:szCs w:val="24"/>
        </w:rPr>
      </w:pPr>
      <w:r w:rsidRPr="00D52069">
        <w:rPr>
          <w:sz w:val="24"/>
          <w:szCs w:val="24"/>
        </w:rPr>
        <w:t>Asset Turnover measures the value of a company’s revenue or sales relative to the value of assets. A higher asset turnover means the bank is more efficient.  Conversely if a company has low asset turnover it means it is efficient enough in using assets to generate sales. A company that has cash as only would have asset turnover ratio between 0 and 0.1</w:t>
      </w:r>
    </w:p>
    <w:p w:rsidR="006F6D55" w:rsidRPr="00D52069" w:rsidRDefault="00DF41C8" w:rsidP="00CB4544">
      <w:pPr>
        <w:jc w:val="both"/>
        <w:rPr>
          <w:b/>
          <w:sz w:val="24"/>
          <w:szCs w:val="24"/>
        </w:rPr>
      </w:pPr>
      <w:r w:rsidRPr="00D52069">
        <w:rPr>
          <w:sz w:val="24"/>
          <w:szCs w:val="24"/>
        </w:rPr>
        <w:t>Asset Turnover Ratio= Revenues/Total asset</w:t>
      </w:r>
    </w:p>
    <w:p w:rsidR="006F6D55" w:rsidRPr="00D52069" w:rsidRDefault="008D1571" w:rsidP="00CB4544">
      <w:pPr>
        <w:jc w:val="both"/>
        <w:rPr>
          <w:sz w:val="24"/>
          <w:szCs w:val="24"/>
        </w:rPr>
      </w:pPr>
      <w:r w:rsidRPr="00D52069">
        <w:rPr>
          <w:sz w:val="24"/>
          <w:szCs w:val="24"/>
        </w:rPr>
        <w:t>Asset turnover ratio</w:t>
      </w:r>
      <w:r w:rsidR="00D246E7" w:rsidRPr="00D52069">
        <w:rPr>
          <w:sz w:val="24"/>
          <w:szCs w:val="24"/>
        </w:rPr>
        <w:t xml:space="preserve"> has decreased in the year 2016 and 2017 for PBL but made a slight climb to 4.38 % in the year 2018. The highest strike during the five year period was in 2015 at 4.51% </w:t>
      </w:r>
    </w:p>
    <w:p w:rsidR="008D1571" w:rsidRPr="00D52069" w:rsidRDefault="008D1571" w:rsidP="00CB4544">
      <w:pPr>
        <w:jc w:val="both"/>
        <w:rPr>
          <w:b/>
          <w:sz w:val="24"/>
          <w:szCs w:val="24"/>
        </w:rPr>
      </w:pPr>
    </w:p>
    <w:p w:rsidR="008D1571" w:rsidRPr="00D52069" w:rsidRDefault="008D1571" w:rsidP="002B5668">
      <w:pPr>
        <w:jc w:val="center"/>
        <w:rPr>
          <w:b/>
          <w:sz w:val="24"/>
          <w:szCs w:val="24"/>
        </w:rPr>
      </w:pPr>
    </w:p>
    <w:p w:rsidR="008D1571" w:rsidRPr="00D52069" w:rsidRDefault="008D1571" w:rsidP="008D74BC">
      <w:pPr>
        <w:rPr>
          <w:b/>
          <w:sz w:val="24"/>
          <w:szCs w:val="24"/>
        </w:rPr>
      </w:pPr>
    </w:p>
    <w:p w:rsidR="00926F5C" w:rsidRDefault="00926F5C" w:rsidP="002B5668">
      <w:pPr>
        <w:jc w:val="center"/>
        <w:rPr>
          <w:b/>
          <w:sz w:val="24"/>
          <w:szCs w:val="24"/>
        </w:rPr>
      </w:pPr>
    </w:p>
    <w:p w:rsidR="00926F5C" w:rsidRPr="00D52069" w:rsidRDefault="00926F5C" w:rsidP="002B5668">
      <w:pPr>
        <w:jc w:val="center"/>
        <w:rPr>
          <w:b/>
          <w:sz w:val="24"/>
          <w:szCs w:val="24"/>
        </w:rPr>
      </w:pPr>
    </w:p>
    <w:p w:rsidR="00383420" w:rsidRPr="00D52069" w:rsidRDefault="00127653" w:rsidP="00127653">
      <w:pPr>
        <w:rPr>
          <w:b/>
          <w:sz w:val="24"/>
          <w:szCs w:val="24"/>
        </w:rPr>
      </w:pPr>
      <w:proofErr w:type="gramStart"/>
      <w:r>
        <w:rPr>
          <w:b/>
          <w:sz w:val="24"/>
          <w:szCs w:val="24"/>
        </w:rPr>
        <w:t xml:space="preserve">(iv) </w:t>
      </w:r>
      <w:r w:rsidR="00383420" w:rsidRPr="00D52069">
        <w:rPr>
          <w:b/>
          <w:sz w:val="24"/>
          <w:szCs w:val="24"/>
        </w:rPr>
        <w:t>Operating</w:t>
      </w:r>
      <w:proofErr w:type="gramEnd"/>
      <w:r w:rsidR="00383420" w:rsidRPr="00D52069">
        <w:rPr>
          <w:b/>
          <w:sz w:val="24"/>
          <w:szCs w:val="24"/>
        </w:rPr>
        <w:t xml:space="preserve"> inefficiency</w:t>
      </w:r>
    </w:p>
    <w:p w:rsidR="002B5668" w:rsidRPr="00D52069" w:rsidRDefault="002B5668">
      <w:pPr>
        <w:rPr>
          <w:sz w:val="24"/>
          <w:szCs w:val="24"/>
        </w:rPr>
      </w:pPr>
      <w:r w:rsidRPr="00D52069">
        <w:rPr>
          <w:noProof/>
          <w:sz w:val="24"/>
          <w:szCs w:val="24"/>
        </w:rPr>
        <w:lastRenderedPageBreak/>
        <w:drawing>
          <wp:inline distT="0" distB="0" distL="0" distR="0">
            <wp:extent cx="5486400" cy="3200400"/>
            <wp:effectExtent l="19050" t="0" r="1905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bl>
      <w:tblPr>
        <w:tblW w:w="8878" w:type="dxa"/>
        <w:tblInd w:w="95" w:type="dxa"/>
        <w:tblLook w:val="04A0" w:firstRow="1" w:lastRow="0" w:firstColumn="1" w:lastColumn="0" w:noHBand="0" w:noVBand="1"/>
      </w:tblPr>
      <w:tblGrid>
        <w:gridCol w:w="3700"/>
        <w:gridCol w:w="980"/>
        <w:gridCol w:w="960"/>
        <w:gridCol w:w="236"/>
        <w:gridCol w:w="885"/>
        <w:gridCol w:w="236"/>
        <w:gridCol w:w="835"/>
        <w:gridCol w:w="236"/>
        <w:gridCol w:w="810"/>
      </w:tblGrid>
      <w:tr w:rsidR="002849DD" w:rsidRPr="00D52069" w:rsidTr="002849DD">
        <w:trPr>
          <w:trHeight w:val="288"/>
        </w:trPr>
        <w:tc>
          <w:tcPr>
            <w:tcW w:w="3700" w:type="dxa"/>
            <w:tcBorders>
              <w:top w:val="nil"/>
              <w:left w:val="nil"/>
              <w:bottom w:val="single" w:sz="4" w:space="0" w:color="auto"/>
              <w:right w:val="nil"/>
            </w:tcBorders>
            <w:shd w:val="clear" w:color="auto" w:fill="auto"/>
            <w:noWrap/>
            <w:vAlign w:val="bottom"/>
            <w:hideMark/>
          </w:tcPr>
          <w:p w:rsidR="002849DD" w:rsidRPr="00D52069" w:rsidRDefault="002849DD" w:rsidP="002849DD">
            <w:pPr>
              <w:spacing w:after="0" w:line="240" w:lineRule="auto"/>
              <w:rPr>
                <w:rFonts w:ascii="Calibri" w:eastAsia="Times New Roman" w:hAnsi="Calibri" w:cs="Calibri"/>
                <w:color w:val="000000"/>
                <w:sz w:val="24"/>
                <w:szCs w:val="24"/>
              </w:rPr>
            </w:pPr>
          </w:p>
        </w:tc>
        <w:tc>
          <w:tcPr>
            <w:tcW w:w="980"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2018</w:t>
            </w:r>
          </w:p>
        </w:tc>
        <w:tc>
          <w:tcPr>
            <w:tcW w:w="960" w:type="dxa"/>
            <w:tcBorders>
              <w:top w:val="nil"/>
              <w:left w:val="single" w:sz="4" w:space="0" w:color="auto"/>
              <w:bottom w:val="single" w:sz="4" w:space="0" w:color="auto"/>
              <w:right w:val="nil"/>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2017</w:t>
            </w:r>
          </w:p>
        </w:tc>
        <w:tc>
          <w:tcPr>
            <w:tcW w:w="236"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885"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2016</w:t>
            </w:r>
          </w:p>
        </w:tc>
        <w:tc>
          <w:tcPr>
            <w:tcW w:w="236"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835"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2015</w:t>
            </w:r>
          </w:p>
        </w:tc>
        <w:tc>
          <w:tcPr>
            <w:tcW w:w="236"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810"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2014</w:t>
            </w:r>
          </w:p>
        </w:tc>
      </w:tr>
      <w:tr w:rsidR="002849DD" w:rsidRPr="00D52069" w:rsidTr="002849DD">
        <w:trPr>
          <w:trHeight w:val="288"/>
        </w:trPr>
        <w:tc>
          <w:tcPr>
            <w:tcW w:w="3700" w:type="dxa"/>
            <w:tcBorders>
              <w:top w:val="single" w:sz="4" w:space="0" w:color="auto"/>
              <w:left w:val="nil"/>
              <w:bottom w:val="nil"/>
              <w:right w:val="nil"/>
            </w:tcBorders>
            <w:shd w:val="clear" w:color="auto" w:fill="auto"/>
            <w:noWrap/>
            <w:vAlign w:val="bottom"/>
            <w:hideMark/>
          </w:tcPr>
          <w:p w:rsidR="002849DD" w:rsidRPr="00D52069" w:rsidRDefault="002849DD" w:rsidP="002849DD">
            <w:pPr>
              <w:spacing w:after="0" w:line="240" w:lineRule="auto"/>
              <w:rPr>
                <w:rFonts w:ascii="Calibri" w:eastAsia="Times New Roman" w:hAnsi="Calibri" w:cs="Calibri"/>
                <w:color w:val="000000"/>
                <w:sz w:val="24"/>
                <w:szCs w:val="24"/>
              </w:rPr>
            </w:pPr>
            <w:r w:rsidRPr="00D52069">
              <w:rPr>
                <w:rFonts w:ascii="Calibri" w:eastAsia="Times New Roman" w:hAnsi="Calibri" w:cs="Calibri"/>
                <w:color w:val="000000"/>
                <w:sz w:val="24"/>
                <w:szCs w:val="24"/>
              </w:rPr>
              <w:t>Operating inefficiency %</w:t>
            </w:r>
          </w:p>
        </w:tc>
        <w:tc>
          <w:tcPr>
            <w:tcW w:w="980"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55.66</w:t>
            </w:r>
          </w:p>
        </w:tc>
        <w:tc>
          <w:tcPr>
            <w:tcW w:w="960" w:type="dxa"/>
            <w:tcBorders>
              <w:top w:val="single" w:sz="4" w:space="0" w:color="auto"/>
              <w:left w:val="single" w:sz="4" w:space="0" w:color="auto"/>
              <w:bottom w:val="nil"/>
              <w:right w:val="nil"/>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55.77</w:t>
            </w:r>
          </w:p>
        </w:tc>
        <w:tc>
          <w:tcPr>
            <w:tcW w:w="236"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885"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52.11</w:t>
            </w:r>
          </w:p>
        </w:tc>
        <w:tc>
          <w:tcPr>
            <w:tcW w:w="236"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835"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51.07</w:t>
            </w:r>
          </w:p>
        </w:tc>
        <w:tc>
          <w:tcPr>
            <w:tcW w:w="236"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810"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48.29</w:t>
            </w:r>
          </w:p>
        </w:tc>
      </w:tr>
    </w:tbl>
    <w:p w:rsidR="002849DD" w:rsidRPr="00D52069" w:rsidRDefault="002849DD">
      <w:pPr>
        <w:rPr>
          <w:sz w:val="24"/>
          <w:szCs w:val="24"/>
        </w:rPr>
      </w:pPr>
    </w:p>
    <w:p w:rsidR="002849DD" w:rsidRPr="00D52069" w:rsidRDefault="002849DD" w:rsidP="00CB4544">
      <w:pPr>
        <w:jc w:val="both"/>
        <w:rPr>
          <w:sz w:val="24"/>
          <w:szCs w:val="24"/>
        </w:rPr>
      </w:pPr>
    </w:p>
    <w:p w:rsidR="00BD4FE4" w:rsidRPr="00D52069" w:rsidRDefault="00BD4FE4" w:rsidP="00CB4544">
      <w:pPr>
        <w:jc w:val="both"/>
        <w:rPr>
          <w:sz w:val="24"/>
          <w:szCs w:val="24"/>
        </w:rPr>
      </w:pPr>
      <w:r w:rsidRPr="00D52069">
        <w:rPr>
          <w:sz w:val="24"/>
          <w:szCs w:val="24"/>
        </w:rPr>
        <w:t>Operating efficiency ratio shows the relation between total operating expense and total assets. A lower efficiency ratio means the bank is operating better. An efficiency ratio of 50% or under is considered optimal.</w:t>
      </w:r>
      <w:r w:rsidR="002B28E3" w:rsidRPr="00D52069">
        <w:rPr>
          <w:sz w:val="24"/>
          <w:szCs w:val="24"/>
        </w:rPr>
        <w:t xml:space="preserve"> </w:t>
      </w:r>
    </w:p>
    <w:p w:rsidR="00BD4FE4" w:rsidRPr="00D52069" w:rsidRDefault="00BD4FE4" w:rsidP="00CB4544">
      <w:pPr>
        <w:jc w:val="both"/>
        <w:rPr>
          <w:sz w:val="24"/>
          <w:szCs w:val="24"/>
        </w:rPr>
      </w:pPr>
      <w:r w:rsidRPr="00D52069">
        <w:rPr>
          <w:sz w:val="24"/>
          <w:szCs w:val="24"/>
        </w:rPr>
        <w:t>Operating efficiency = Total operating expense / total assets</w:t>
      </w:r>
    </w:p>
    <w:p w:rsidR="0087237A" w:rsidRPr="00D52069" w:rsidRDefault="0087237A" w:rsidP="00CB4544">
      <w:pPr>
        <w:jc w:val="both"/>
        <w:rPr>
          <w:sz w:val="24"/>
          <w:szCs w:val="24"/>
        </w:rPr>
      </w:pPr>
      <w:r w:rsidRPr="00D52069">
        <w:rPr>
          <w:sz w:val="24"/>
          <w:szCs w:val="24"/>
        </w:rPr>
        <w:t>Operating efficiency of PBL was optimal in the year 2014</w:t>
      </w:r>
      <w:r w:rsidR="002B28E3" w:rsidRPr="00D52069">
        <w:rPr>
          <w:sz w:val="24"/>
          <w:szCs w:val="24"/>
        </w:rPr>
        <w:t xml:space="preserve"> stood at 48.29%. A lower efficiency ratio indicates that it takes less cost to generate income. From 2015 to 2018, there was an increase in operating efficiency ratio. In 2018 operating efficiency was</w:t>
      </w:r>
      <w:r w:rsidRPr="00D52069">
        <w:rPr>
          <w:sz w:val="24"/>
          <w:szCs w:val="24"/>
        </w:rPr>
        <w:t xml:space="preserve"> </w:t>
      </w:r>
      <w:r w:rsidR="002B28E3" w:rsidRPr="00D52069">
        <w:rPr>
          <w:sz w:val="24"/>
          <w:szCs w:val="24"/>
        </w:rPr>
        <w:t xml:space="preserve">at </w:t>
      </w:r>
      <w:r w:rsidR="003E3F80">
        <w:rPr>
          <w:sz w:val="24"/>
          <w:szCs w:val="24"/>
        </w:rPr>
        <w:t xml:space="preserve">55.66% which is a bad indicator </w:t>
      </w:r>
      <w:r w:rsidR="002B28E3" w:rsidRPr="00D52069">
        <w:rPr>
          <w:sz w:val="24"/>
          <w:szCs w:val="24"/>
        </w:rPr>
        <w:t xml:space="preserve">for the bank. </w:t>
      </w:r>
    </w:p>
    <w:p w:rsidR="002622FD" w:rsidRPr="00D52069" w:rsidRDefault="002622FD" w:rsidP="00CB4544">
      <w:pPr>
        <w:jc w:val="both"/>
        <w:rPr>
          <w:sz w:val="24"/>
          <w:szCs w:val="24"/>
        </w:rPr>
      </w:pPr>
    </w:p>
    <w:p w:rsidR="002622FD" w:rsidRDefault="002622FD">
      <w:pPr>
        <w:rPr>
          <w:sz w:val="24"/>
          <w:szCs w:val="24"/>
        </w:rPr>
      </w:pPr>
    </w:p>
    <w:p w:rsidR="00DF41C8" w:rsidRPr="00D52069" w:rsidRDefault="00DF41C8">
      <w:pPr>
        <w:rPr>
          <w:sz w:val="24"/>
          <w:szCs w:val="24"/>
        </w:rPr>
      </w:pPr>
    </w:p>
    <w:p w:rsidR="002622FD" w:rsidRPr="00DF41C8" w:rsidRDefault="006B4E2A">
      <w:pPr>
        <w:rPr>
          <w:b/>
          <w:sz w:val="32"/>
          <w:szCs w:val="32"/>
          <w:u w:val="single"/>
        </w:rPr>
      </w:pPr>
      <w:r>
        <w:rPr>
          <w:b/>
          <w:sz w:val="32"/>
          <w:szCs w:val="32"/>
          <w:u w:val="single"/>
        </w:rPr>
        <w:t>3</w:t>
      </w:r>
      <w:r w:rsidR="00127653">
        <w:rPr>
          <w:b/>
          <w:sz w:val="32"/>
          <w:szCs w:val="32"/>
          <w:u w:val="single"/>
        </w:rPr>
        <w:t xml:space="preserve">.4 </w:t>
      </w:r>
      <w:r w:rsidR="002622FD" w:rsidRPr="00DF41C8">
        <w:rPr>
          <w:b/>
          <w:sz w:val="32"/>
          <w:szCs w:val="32"/>
          <w:u w:val="single"/>
        </w:rPr>
        <w:t xml:space="preserve">Profitability </w:t>
      </w:r>
      <w:proofErr w:type="gramStart"/>
      <w:r w:rsidR="002622FD" w:rsidRPr="00DF41C8">
        <w:rPr>
          <w:b/>
          <w:sz w:val="32"/>
          <w:szCs w:val="32"/>
          <w:u w:val="single"/>
        </w:rPr>
        <w:t>Ratio</w:t>
      </w:r>
      <w:r w:rsidR="002E71C4" w:rsidRPr="00DF41C8">
        <w:rPr>
          <w:b/>
          <w:sz w:val="32"/>
          <w:szCs w:val="32"/>
          <w:u w:val="single"/>
        </w:rPr>
        <w:t xml:space="preserve"> </w:t>
      </w:r>
      <w:r w:rsidR="00DF41C8">
        <w:rPr>
          <w:b/>
          <w:sz w:val="32"/>
          <w:szCs w:val="32"/>
          <w:u w:val="single"/>
        </w:rPr>
        <w:t xml:space="preserve"> </w:t>
      </w:r>
      <w:r w:rsidR="002622FD" w:rsidRPr="00D52069">
        <w:rPr>
          <w:sz w:val="24"/>
          <w:szCs w:val="24"/>
        </w:rPr>
        <w:t>Profitability</w:t>
      </w:r>
      <w:proofErr w:type="gramEnd"/>
      <w:r w:rsidR="002622FD" w:rsidRPr="00D52069">
        <w:rPr>
          <w:sz w:val="24"/>
          <w:szCs w:val="24"/>
        </w:rPr>
        <w:t xml:space="preserve"> ratios are used to compare companies in the same industry since profit margins will vary from industry to industry</w:t>
      </w:r>
    </w:p>
    <w:p w:rsidR="00974297" w:rsidRPr="00D52069" w:rsidRDefault="00974297" w:rsidP="002B64BB">
      <w:pPr>
        <w:jc w:val="center"/>
        <w:rPr>
          <w:b/>
          <w:sz w:val="24"/>
          <w:szCs w:val="24"/>
        </w:rPr>
      </w:pPr>
    </w:p>
    <w:p w:rsidR="002B64BB" w:rsidRPr="00DF41C8" w:rsidRDefault="00127653" w:rsidP="00127653">
      <w:pPr>
        <w:rPr>
          <w:b/>
          <w:sz w:val="24"/>
          <w:szCs w:val="24"/>
        </w:rPr>
      </w:pPr>
      <w:r>
        <w:rPr>
          <w:b/>
          <w:sz w:val="24"/>
          <w:szCs w:val="24"/>
        </w:rPr>
        <w:t>(</w:t>
      </w:r>
      <w:proofErr w:type="spellStart"/>
      <w:r>
        <w:rPr>
          <w:b/>
          <w:sz w:val="24"/>
          <w:szCs w:val="24"/>
        </w:rPr>
        <w:t>i</w:t>
      </w:r>
      <w:proofErr w:type="spellEnd"/>
      <w:r>
        <w:rPr>
          <w:b/>
          <w:sz w:val="24"/>
          <w:szCs w:val="24"/>
        </w:rPr>
        <w:t xml:space="preserve">) </w:t>
      </w:r>
      <w:r w:rsidR="002B64BB" w:rsidRPr="00D52069">
        <w:rPr>
          <w:b/>
          <w:sz w:val="24"/>
          <w:szCs w:val="24"/>
        </w:rPr>
        <w:t>Gross Profit Ratio</w:t>
      </w:r>
    </w:p>
    <w:p w:rsidR="002B64BB" w:rsidRPr="00D52069" w:rsidRDefault="002B64BB" w:rsidP="002B64BB">
      <w:pPr>
        <w:jc w:val="center"/>
        <w:rPr>
          <w:sz w:val="24"/>
          <w:szCs w:val="24"/>
        </w:rPr>
      </w:pPr>
      <w:r w:rsidRPr="00D52069">
        <w:rPr>
          <w:noProof/>
          <w:sz w:val="24"/>
          <w:szCs w:val="24"/>
        </w:rPr>
        <w:drawing>
          <wp:inline distT="0" distB="0" distL="0" distR="0">
            <wp:extent cx="5348080" cy="2711395"/>
            <wp:effectExtent l="19050" t="0" r="2402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bl>
      <w:tblPr>
        <w:tblW w:w="8813" w:type="dxa"/>
        <w:tblInd w:w="95" w:type="dxa"/>
        <w:tblLook w:val="04A0" w:firstRow="1" w:lastRow="0" w:firstColumn="1" w:lastColumn="0" w:noHBand="0" w:noVBand="1"/>
      </w:tblPr>
      <w:tblGrid>
        <w:gridCol w:w="3700"/>
        <w:gridCol w:w="236"/>
        <w:gridCol w:w="767"/>
        <w:gridCol w:w="236"/>
        <w:gridCol w:w="805"/>
        <w:gridCol w:w="236"/>
        <w:gridCol w:w="767"/>
        <w:gridCol w:w="236"/>
        <w:gridCol w:w="870"/>
        <w:gridCol w:w="960"/>
      </w:tblGrid>
      <w:tr w:rsidR="002849DD" w:rsidRPr="00D52069" w:rsidTr="002849DD">
        <w:trPr>
          <w:trHeight w:val="288"/>
        </w:trPr>
        <w:tc>
          <w:tcPr>
            <w:tcW w:w="3700" w:type="dxa"/>
            <w:tcBorders>
              <w:top w:val="nil"/>
              <w:left w:val="nil"/>
              <w:bottom w:val="single" w:sz="4" w:space="0" w:color="auto"/>
              <w:right w:val="nil"/>
            </w:tcBorders>
            <w:shd w:val="clear" w:color="auto" w:fill="auto"/>
            <w:noWrap/>
            <w:vAlign w:val="bottom"/>
            <w:hideMark/>
          </w:tcPr>
          <w:p w:rsidR="002849DD" w:rsidRPr="00D52069" w:rsidRDefault="002849DD" w:rsidP="002849DD">
            <w:pPr>
              <w:spacing w:after="0" w:line="240" w:lineRule="auto"/>
              <w:rPr>
                <w:rFonts w:ascii="Calibri" w:eastAsia="Times New Roman" w:hAnsi="Calibri" w:cs="Calibri"/>
                <w:color w:val="000000"/>
                <w:sz w:val="24"/>
                <w:szCs w:val="24"/>
              </w:rPr>
            </w:pPr>
          </w:p>
        </w:tc>
        <w:tc>
          <w:tcPr>
            <w:tcW w:w="236"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67"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2018</w:t>
            </w:r>
          </w:p>
        </w:tc>
        <w:tc>
          <w:tcPr>
            <w:tcW w:w="236"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810"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2017</w:t>
            </w:r>
          </w:p>
        </w:tc>
        <w:tc>
          <w:tcPr>
            <w:tcW w:w="236"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47"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2016</w:t>
            </w:r>
          </w:p>
        </w:tc>
        <w:tc>
          <w:tcPr>
            <w:tcW w:w="236"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885" w:type="dxa"/>
            <w:tcBorders>
              <w:top w:val="nil"/>
              <w:left w:val="nil"/>
              <w:bottom w:val="single" w:sz="4" w:space="0" w:color="auto"/>
              <w:right w:val="single" w:sz="4" w:space="0" w:color="auto"/>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2015</w:t>
            </w:r>
          </w:p>
        </w:tc>
        <w:tc>
          <w:tcPr>
            <w:tcW w:w="960" w:type="dxa"/>
            <w:tcBorders>
              <w:top w:val="nil"/>
              <w:left w:val="single" w:sz="4" w:space="0" w:color="auto"/>
              <w:bottom w:val="single" w:sz="4" w:space="0" w:color="auto"/>
              <w:right w:val="nil"/>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2014</w:t>
            </w:r>
          </w:p>
        </w:tc>
      </w:tr>
      <w:tr w:rsidR="002849DD" w:rsidRPr="00D52069" w:rsidTr="002849DD">
        <w:trPr>
          <w:trHeight w:val="288"/>
        </w:trPr>
        <w:tc>
          <w:tcPr>
            <w:tcW w:w="3700" w:type="dxa"/>
            <w:tcBorders>
              <w:top w:val="single" w:sz="4" w:space="0" w:color="auto"/>
              <w:left w:val="nil"/>
              <w:bottom w:val="nil"/>
              <w:right w:val="nil"/>
            </w:tcBorders>
            <w:shd w:val="clear" w:color="auto" w:fill="auto"/>
            <w:noWrap/>
            <w:vAlign w:val="bottom"/>
            <w:hideMark/>
          </w:tcPr>
          <w:p w:rsidR="002849DD" w:rsidRPr="00D52069" w:rsidRDefault="002849DD" w:rsidP="002849DD">
            <w:pPr>
              <w:spacing w:after="0" w:line="240" w:lineRule="auto"/>
              <w:rPr>
                <w:rFonts w:ascii="Calibri" w:eastAsia="Times New Roman" w:hAnsi="Calibri" w:cs="Calibri"/>
                <w:color w:val="000000"/>
                <w:sz w:val="24"/>
                <w:szCs w:val="24"/>
              </w:rPr>
            </w:pPr>
            <w:r w:rsidRPr="00D52069">
              <w:rPr>
                <w:rFonts w:ascii="Calibri" w:eastAsia="Times New Roman" w:hAnsi="Calibri" w:cs="Calibri"/>
                <w:color w:val="000000"/>
                <w:sz w:val="24"/>
                <w:szCs w:val="24"/>
              </w:rPr>
              <w:t>Gross Profit Ratio %</w:t>
            </w:r>
          </w:p>
        </w:tc>
        <w:tc>
          <w:tcPr>
            <w:tcW w:w="236"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67"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54.72</w:t>
            </w:r>
          </w:p>
        </w:tc>
        <w:tc>
          <w:tcPr>
            <w:tcW w:w="236"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810"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55.28</w:t>
            </w:r>
          </w:p>
        </w:tc>
        <w:tc>
          <w:tcPr>
            <w:tcW w:w="236"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47"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52.97</w:t>
            </w:r>
          </w:p>
        </w:tc>
        <w:tc>
          <w:tcPr>
            <w:tcW w:w="236"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885" w:type="dxa"/>
            <w:tcBorders>
              <w:top w:val="single" w:sz="4" w:space="0" w:color="auto"/>
              <w:left w:val="nil"/>
              <w:bottom w:val="nil"/>
              <w:right w:val="single" w:sz="4" w:space="0" w:color="auto"/>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45.85</w:t>
            </w:r>
          </w:p>
        </w:tc>
        <w:tc>
          <w:tcPr>
            <w:tcW w:w="960" w:type="dxa"/>
            <w:tcBorders>
              <w:top w:val="single" w:sz="4" w:space="0" w:color="auto"/>
              <w:left w:val="single" w:sz="4" w:space="0" w:color="auto"/>
              <w:bottom w:val="nil"/>
              <w:right w:val="nil"/>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43.33</w:t>
            </w:r>
          </w:p>
        </w:tc>
      </w:tr>
    </w:tbl>
    <w:p w:rsidR="002849DD" w:rsidRPr="00D52069" w:rsidRDefault="002849DD" w:rsidP="002849DD">
      <w:pPr>
        <w:rPr>
          <w:sz w:val="24"/>
          <w:szCs w:val="24"/>
        </w:rPr>
      </w:pPr>
    </w:p>
    <w:p w:rsidR="00C62051" w:rsidRPr="00D52069" w:rsidRDefault="002B64BB" w:rsidP="00CB4544">
      <w:pPr>
        <w:jc w:val="both"/>
        <w:rPr>
          <w:sz w:val="24"/>
          <w:szCs w:val="24"/>
        </w:rPr>
      </w:pPr>
      <w:r w:rsidRPr="00D52069">
        <w:rPr>
          <w:sz w:val="24"/>
          <w:szCs w:val="24"/>
        </w:rPr>
        <w:t>Gross Profit ratio also known gross profit margin compares the gross margin of a company to its revenue.</w:t>
      </w:r>
      <w:r w:rsidR="006448DE" w:rsidRPr="00D52069">
        <w:rPr>
          <w:sz w:val="24"/>
          <w:szCs w:val="24"/>
        </w:rPr>
        <w:t xml:space="preserve"> It helps to evaluate the operational performance of the business. </w:t>
      </w:r>
      <w:r w:rsidRPr="00D52069">
        <w:rPr>
          <w:sz w:val="24"/>
          <w:szCs w:val="24"/>
        </w:rPr>
        <w:t xml:space="preserve">The ratio indicates the percentage of each Taka of revenue that the bank retains as gross profit. For </w:t>
      </w:r>
      <w:proofErr w:type="spellStart"/>
      <w:r w:rsidRPr="00D52069">
        <w:rPr>
          <w:sz w:val="24"/>
          <w:szCs w:val="24"/>
        </w:rPr>
        <w:t>eg</w:t>
      </w:r>
      <w:proofErr w:type="spellEnd"/>
      <w:r w:rsidR="006448DE" w:rsidRPr="00D52069">
        <w:rPr>
          <w:sz w:val="24"/>
          <w:szCs w:val="24"/>
        </w:rPr>
        <w:t>,</w:t>
      </w:r>
      <w:r w:rsidRPr="00D52069">
        <w:rPr>
          <w:sz w:val="24"/>
          <w:szCs w:val="24"/>
        </w:rPr>
        <w:t xml:space="preserve"> if ratio is 20 % it means for every taka of revenue generated, taka 0.20 is to be retained while taka 0.80 is to be attributed to the costs.</w:t>
      </w:r>
    </w:p>
    <w:p w:rsidR="006448DE" w:rsidRPr="00D52069" w:rsidRDefault="006448DE" w:rsidP="00CB4544">
      <w:pPr>
        <w:jc w:val="both"/>
        <w:rPr>
          <w:sz w:val="24"/>
          <w:szCs w:val="24"/>
        </w:rPr>
      </w:pPr>
      <w:r w:rsidRPr="00D52069">
        <w:rPr>
          <w:sz w:val="24"/>
          <w:szCs w:val="24"/>
        </w:rPr>
        <w:t>Gross Profit Ratio= Gross Profit/Net Sales</w:t>
      </w:r>
    </w:p>
    <w:p w:rsidR="002B64BB" w:rsidRDefault="00E339F9" w:rsidP="00CB4544">
      <w:pPr>
        <w:jc w:val="both"/>
        <w:rPr>
          <w:sz w:val="24"/>
          <w:szCs w:val="24"/>
        </w:rPr>
      </w:pPr>
      <w:r w:rsidRPr="00E339F9">
        <w:rPr>
          <w:sz w:val="24"/>
          <w:szCs w:val="24"/>
        </w:rPr>
        <w:t xml:space="preserve">From 2014 to 2017 gross profit of PBL increased every year. In 2014 gross profit ratio was 43.33 %, in 2015 it was 45.85 %, </w:t>
      </w:r>
      <w:proofErr w:type="gramStart"/>
      <w:r w:rsidRPr="00E339F9">
        <w:rPr>
          <w:sz w:val="24"/>
          <w:szCs w:val="24"/>
        </w:rPr>
        <w:t>in</w:t>
      </w:r>
      <w:proofErr w:type="gramEnd"/>
      <w:r w:rsidRPr="00E339F9">
        <w:rPr>
          <w:sz w:val="24"/>
          <w:szCs w:val="24"/>
        </w:rPr>
        <w:t xml:space="preserve"> 2016 it increased to 52.97%, in 2017 it increased to 55.28 %. In 2018 it slightly decreased to 54.72 %. We can say that in the year 2016 to 2018 PBL had good gross profit ratio above 50% which is sufficient enough to cover expenses and indicates bank can make more profit.</w:t>
      </w:r>
    </w:p>
    <w:p w:rsidR="00F07CC7" w:rsidRPr="00E339F9" w:rsidRDefault="00F07CC7">
      <w:pPr>
        <w:rPr>
          <w:sz w:val="24"/>
          <w:szCs w:val="24"/>
        </w:rPr>
      </w:pPr>
    </w:p>
    <w:p w:rsidR="002B64BB" w:rsidRPr="00D52069" w:rsidRDefault="002B64BB">
      <w:pPr>
        <w:rPr>
          <w:sz w:val="24"/>
          <w:szCs w:val="24"/>
        </w:rPr>
      </w:pPr>
    </w:p>
    <w:p w:rsidR="004B3FCE" w:rsidRDefault="004B3FCE" w:rsidP="00127653">
      <w:pPr>
        <w:rPr>
          <w:b/>
          <w:sz w:val="24"/>
          <w:szCs w:val="24"/>
        </w:rPr>
      </w:pPr>
    </w:p>
    <w:p w:rsidR="00CB4544" w:rsidRDefault="00CB4544" w:rsidP="00127653">
      <w:pPr>
        <w:rPr>
          <w:b/>
          <w:sz w:val="24"/>
          <w:szCs w:val="24"/>
        </w:rPr>
      </w:pPr>
    </w:p>
    <w:p w:rsidR="002B64BB" w:rsidRPr="00D52069" w:rsidRDefault="00127653" w:rsidP="00127653">
      <w:pPr>
        <w:rPr>
          <w:b/>
          <w:sz w:val="24"/>
          <w:szCs w:val="24"/>
        </w:rPr>
      </w:pPr>
      <w:r>
        <w:rPr>
          <w:b/>
          <w:sz w:val="24"/>
          <w:szCs w:val="24"/>
        </w:rPr>
        <w:lastRenderedPageBreak/>
        <w:t xml:space="preserve">(ii) </w:t>
      </w:r>
      <w:r w:rsidR="006448DE" w:rsidRPr="00D52069">
        <w:rPr>
          <w:b/>
          <w:sz w:val="24"/>
          <w:szCs w:val="24"/>
        </w:rPr>
        <w:t>Return on Assets Ratio (ROA)</w:t>
      </w:r>
    </w:p>
    <w:p w:rsidR="006448DE" w:rsidRPr="00D52069" w:rsidRDefault="006448DE" w:rsidP="006448DE">
      <w:pPr>
        <w:jc w:val="center"/>
        <w:rPr>
          <w:b/>
          <w:sz w:val="24"/>
          <w:szCs w:val="24"/>
        </w:rPr>
      </w:pPr>
      <w:r w:rsidRPr="00D52069">
        <w:rPr>
          <w:b/>
          <w:noProof/>
          <w:sz w:val="24"/>
          <w:szCs w:val="24"/>
        </w:rPr>
        <w:drawing>
          <wp:inline distT="0" distB="0" distL="0" distR="0">
            <wp:extent cx="5419642" cy="2822713"/>
            <wp:effectExtent l="19050" t="0" r="9608"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bl>
      <w:tblPr>
        <w:tblW w:w="8593" w:type="dxa"/>
        <w:tblInd w:w="95" w:type="dxa"/>
        <w:tblLook w:val="04A0" w:firstRow="1" w:lastRow="0" w:firstColumn="1" w:lastColumn="0" w:noHBand="0" w:noVBand="1"/>
      </w:tblPr>
      <w:tblGrid>
        <w:gridCol w:w="3700"/>
        <w:gridCol w:w="236"/>
        <w:gridCol w:w="791"/>
        <w:gridCol w:w="275"/>
        <w:gridCol w:w="703"/>
        <w:gridCol w:w="238"/>
        <w:gridCol w:w="718"/>
        <w:gridCol w:w="263"/>
        <w:gridCol w:w="703"/>
        <w:gridCol w:w="263"/>
        <w:gridCol w:w="703"/>
      </w:tblGrid>
      <w:tr w:rsidR="002849DD" w:rsidRPr="00D52069" w:rsidTr="002849DD">
        <w:trPr>
          <w:trHeight w:val="288"/>
        </w:trPr>
        <w:tc>
          <w:tcPr>
            <w:tcW w:w="3700" w:type="dxa"/>
            <w:tcBorders>
              <w:top w:val="nil"/>
              <w:left w:val="nil"/>
              <w:bottom w:val="single" w:sz="4" w:space="0" w:color="auto"/>
              <w:right w:val="nil"/>
            </w:tcBorders>
            <w:shd w:val="clear" w:color="auto" w:fill="auto"/>
            <w:noWrap/>
            <w:vAlign w:val="bottom"/>
            <w:hideMark/>
          </w:tcPr>
          <w:p w:rsidR="002849DD" w:rsidRPr="00D52069" w:rsidRDefault="002849DD" w:rsidP="002849DD">
            <w:pPr>
              <w:spacing w:after="0" w:line="240" w:lineRule="auto"/>
              <w:rPr>
                <w:rFonts w:ascii="Calibri" w:eastAsia="Times New Roman" w:hAnsi="Calibri" w:cs="Calibri"/>
                <w:color w:val="000000"/>
                <w:sz w:val="24"/>
                <w:szCs w:val="24"/>
              </w:rPr>
            </w:pPr>
          </w:p>
        </w:tc>
        <w:tc>
          <w:tcPr>
            <w:tcW w:w="236"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817"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2018</w:t>
            </w:r>
          </w:p>
        </w:tc>
        <w:tc>
          <w:tcPr>
            <w:tcW w:w="275"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85"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2017</w:t>
            </w:r>
          </w:p>
        </w:tc>
        <w:tc>
          <w:tcPr>
            <w:tcW w:w="238"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22"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2016</w:t>
            </w:r>
          </w:p>
        </w:tc>
        <w:tc>
          <w:tcPr>
            <w:tcW w:w="263"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97"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2015</w:t>
            </w:r>
          </w:p>
        </w:tc>
        <w:tc>
          <w:tcPr>
            <w:tcW w:w="263" w:type="dxa"/>
            <w:tcBorders>
              <w:top w:val="nil"/>
              <w:left w:val="nil"/>
              <w:bottom w:val="single" w:sz="4" w:space="0" w:color="auto"/>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97" w:type="dxa"/>
            <w:tcBorders>
              <w:top w:val="nil"/>
              <w:left w:val="single" w:sz="4" w:space="0" w:color="auto"/>
              <w:bottom w:val="single" w:sz="4" w:space="0" w:color="auto"/>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2014</w:t>
            </w:r>
          </w:p>
        </w:tc>
      </w:tr>
      <w:tr w:rsidR="002849DD" w:rsidRPr="00D52069" w:rsidTr="002849DD">
        <w:trPr>
          <w:trHeight w:val="288"/>
        </w:trPr>
        <w:tc>
          <w:tcPr>
            <w:tcW w:w="3700" w:type="dxa"/>
            <w:tcBorders>
              <w:top w:val="single" w:sz="4" w:space="0" w:color="auto"/>
              <w:left w:val="nil"/>
              <w:bottom w:val="nil"/>
              <w:right w:val="nil"/>
            </w:tcBorders>
            <w:shd w:val="clear" w:color="auto" w:fill="auto"/>
            <w:noWrap/>
            <w:vAlign w:val="bottom"/>
            <w:hideMark/>
          </w:tcPr>
          <w:p w:rsidR="002849DD" w:rsidRPr="00D52069" w:rsidRDefault="002849DD" w:rsidP="002849DD">
            <w:pPr>
              <w:spacing w:after="0" w:line="240" w:lineRule="auto"/>
              <w:rPr>
                <w:rFonts w:ascii="Calibri" w:eastAsia="Times New Roman" w:hAnsi="Calibri" w:cs="Calibri"/>
                <w:color w:val="000000"/>
                <w:sz w:val="24"/>
                <w:szCs w:val="24"/>
              </w:rPr>
            </w:pPr>
            <w:r w:rsidRPr="00D52069">
              <w:rPr>
                <w:rFonts w:ascii="Calibri" w:eastAsia="Times New Roman" w:hAnsi="Calibri" w:cs="Calibri"/>
                <w:color w:val="000000"/>
                <w:sz w:val="24"/>
                <w:szCs w:val="24"/>
              </w:rPr>
              <w:t>ROA %</w:t>
            </w:r>
          </w:p>
        </w:tc>
        <w:tc>
          <w:tcPr>
            <w:tcW w:w="236"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817"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0.76</w:t>
            </w:r>
          </w:p>
        </w:tc>
        <w:tc>
          <w:tcPr>
            <w:tcW w:w="275"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85"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0.38</w:t>
            </w:r>
          </w:p>
        </w:tc>
        <w:tc>
          <w:tcPr>
            <w:tcW w:w="238"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722"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0.81</w:t>
            </w:r>
          </w:p>
        </w:tc>
        <w:tc>
          <w:tcPr>
            <w:tcW w:w="263"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97"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0.8</w:t>
            </w:r>
          </w:p>
        </w:tc>
        <w:tc>
          <w:tcPr>
            <w:tcW w:w="263" w:type="dxa"/>
            <w:tcBorders>
              <w:top w:val="single" w:sz="4" w:space="0" w:color="auto"/>
              <w:left w:val="nil"/>
              <w:bottom w:val="nil"/>
              <w:right w:val="single" w:sz="4" w:space="0" w:color="auto"/>
            </w:tcBorders>
            <w:shd w:val="clear" w:color="auto" w:fill="auto"/>
            <w:noWrap/>
            <w:vAlign w:val="bottom"/>
            <w:hideMark/>
          </w:tcPr>
          <w:p w:rsidR="002849DD" w:rsidRPr="00D52069" w:rsidRDefault="002849DD" w:rsidP="002849DD">
            <w:pPr>
              <w:spacing w:after="0" w:line="240" w:lineRule="auto"/>
              <w:jc w:val="right"/>
              <w:rPr>
                <w:rFonts w:ascii="Calibri" w:eastAsia="Times New Roman" w:hAnsi="Calibri" w:cs="Calibri"/>
                <w:b/>
                <w:bCs/>
                <w:color w:val="000000"/>
                <w:sz w:val="24"/>
                <w:szCs w:val="24"/>
              </w:rPr>
            </w:pPr>
          </w:p>
        </w:tc>
        <w:tc>
          <w:tcPr>
            <w:tcW w:w="697" w:type="dxa"/>
            <w:tcBorders>
              <w:top w:val="single" w:sz="4" w:space="0" w:color="auto"/>
              <w:left w:val="single" w:sz="4" w:space="0" w:color="auto"/>
              <w:bottom w:val="nil"/>
              <w:right w:val="nil"/>
            </w:tcBorders>
            <w:shd w:val="clear" w:color="auto" w:fill="auto"/>
            <w:vAlign w:val="bottom"/>
          </w:tcPr>
          <w:p w:rsidR="002849DD" w:rsidRPr="00D52069" w:rsidRDefault="002849DD" w:rsidP="002849D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0.91</w:t>
            </w:r>
          </w:p>
        </w:tc>
      </w:tr>
    </w:tbl>
    <w:p w:rsidR="002849DD" w:rsidRPr="00D52069" w:rsidRDefault="002849DD" w:rsidP="00CB4544">
      <w:pPr>
        <w:jc w:val="both"/>
        <w:rPr>
          <w:b/>
          <w:sz w:val="24"/>
          <w:szCs w:val="24"/>
        </w:rPr>
      </w:pPr>
    </w:p>
    <w:p w:rsidR="002E71C4" w:rsidRPr="00D52069" w:rsidRDefault="006448DE" w:rsidP="00CB4544">
      <w:pPr>
        <w:jc w:val="both"/>
        <w:rPr>
          <w:sz w:val="24"/>
          <w:szCs w:val="24"/>
        </w:rPr>
      </w:pPr>
      <w:r w:rsidRPr="00D52069">
        <w:rPr>
          <w:sz w:val="24"/>
          <w:szCs w:val="24"/>
        </w:rPr>
        <w:t xml:space="preserve">ROA measures how efficiently profits are being generated from the assets </w:t>
      </w:r>
      <w:r w:rsidR="00224CB7" w:rsidRPr="00D52069">
        <w:rPr>
          <w:sz w:val="24"/>
          <w:szCs w:val="24"/>
        </w:rPr>
        <w:t>tied up</w:t>
      </w:r>
      <w:r w:rsidRPr="00D52069">
        <w:rPr>
          <w:sz w:val="24"/>
          <w:szCs w:val="24"/>
        </w:rPr>
        <w:t xml:space="preserve"> in the business when compared with the ratios of firms in the similar industry. ROA gives a clear idea how efficient a company’s management is at using its assets to generate earnings. ROA takes into account a company</w:t>
      </w:r>
      <w:r w:rsidR="002E71C4" w:rsidRPr="00D52069">
        <w:rPr>
          <w:sz w:val="24"/>
          <w:szCs w:val="24"/>
        </w:rPr>
        <w:t>’</w:t>
      </w:r>
      <w:r w:rsidRPr="00D52069">
        <w:rPr>
          <w:sz w:val="24"/>
          <w:szCs w:val="24"/>
        </w:rPr>
        <w:t>s debt unlike other metrics such ROE.</w:t>
      </w:r>
      <w:r w:rsidR="002E71C4" w:rsidRPr="00D52069">
        <w:rPr>
          <w:sz w:val="24"/>
          <w:szCs w:val="24"/>
        </w:rPr>
        <w:t xml:space="preserve"> A high ROA shows the company has a solid performance as far as finance and operation of the company is concerned.</w:t>
      </w:r>
    </w:p>
    <w:p w:rsidR="00974297" w:rsidRDefault="0006739C" w:rsidP="00CB4544">
      <w:pPr>
        <w:jc w:val="both"/>
        <w:rPr>
          <w:sz w:val="24"/>
          <w:szCs w:val="24"/>
        </w:rPr>
      </w:pPr>
      <w:r w:rsidRPr="00D52069">
        <w:rPr>
          <w:sz w:val="24"/>
          <w:szCs w:val="24"/>
        </w:rPr>
        <w:t xml:space="preserve">In the year 2015 there was a decrease in ROA to 0.8 % from 0.91% but still </w:t>
      </w:r>
      <w:r w:rsidR="00FF41ED" w:rsidRPr="00D52069">
        <w:rPr>
          <w:sz w:val="24"/>
          <w:szCs w:val="24"/>
        </w:rPr>
        <w:t>was</w:t>
      </w:r>
      <w:r w:rsidR="00DF3D91" w:rsidRPr="00D52069">
        <w:rPr>
          <w:sz w:val="24"/>
          <w:szCs w:val="24"/>
        </w:rPr>
        <w:t xml:space="preserve"> termed as satisfactory. In 2017 ROA stood at 0.38% which is below compared to previous year, nut ROA outperformed the industry averages in these years.</w:t>
      </w:r>
      <w:r w:rsidR="00FF41ED" w:rsidRPr="00D52069">
        <w:rPr>
          <w:sz w:val="24"/>
          <w:szCs w:val="24"/>
        </w:rPr>
        <w:t xml:space="preserve"> The decrease in ROA was because PBL concentrated more on quality and cautious lending than reckless expansion of credit portfolio to prevent balance sheet risk from any unpredicted failures</w:t>
      </w:r>
    </w:p>
    <w:p w:rsidR="00D568BA" w:rsidRDefault="00D568BA" w:rsidP="00CB4544">
      <w:pPr>
        <w:jc w:val="both"/>
        <w:rPr>
          <w:sz w:val="24"/>
          <w:szCs w:val="24"/>
        </w:rPr>
      </w:pPr>
    </w:p>
    <w:p w:rsidR="00D568BA" w:rsidRPr="00D52069" w:rsidRDefault="00D568BA" w:rsidP="006448DE">
      <w:pPr>
        <w:rPr>
          <w:sz w:val="24"/>
          <w:szCs w:val="24"/>
        </w:rPr>
      </w:pPr>
    </w:p>
    <w:p w:rsidR="00DF41C8" w:rsidRPr="006B4E2A" w:rsidRDefault="002E71C4" w:rsidP="006B4E2A">
      <w:pPr>
        <w:rPr>
          <w:sz w:val="24"/>
          <w:szCs w:val="24"/>
        </w:rPr>
      </w:pPr>
      <w:r w:rsidRPr="00D52069">
        <w:rPr>
          <w:sz w:val="24"/>
          <w:szCs w:val="24"/>
        </w:rPr>
        <w:t xml:space="preserve"> </w:t>
      </w:r>
      <w:r w:rsidR="006448DE" w:rsidRPr="00D52069">
        <w:rPr>
          <w:sz w:val="24"/>
          <w:szCs w:val="24"/>
        </w:rPr>
        <w:t xml:space="preserve"> </w:t>
      </w:r>
    </w:p>
    <w:p w:rsidR="00926F5C" w:rsidRDefault="00926F5C" w:rsidP="00127653">
      <w:pPr>
        <w:rPr>
          <w:b/>
          <w:sz w:val="24"/>
          <w:szCs w:val="24"/>
        </w:rPr>
      </w:pPr>
    </w:p>
    <w:p w:rsidR="004B3FCE" w:rsidRDefault="004B3FCE" w:rsidP="00127653">
      <w:pPr>
        <w:rPr>
          <w:b/>
          <w:sz w:val="24"/>
          <w:szCs w:val="24"/>
        </w:rPr>
      </w:pPr>
    </w:p>
    <w:p w:rsidR="00D246E7" w:rsidRPr="00D52069" w:rsidRDefault="00127653" w:rsidP="00127653">
      <w:pPr>
        <w:rPr>
          <w:b/>
          <w:sz w:val="24"/>
          <w:szCs w:val="24"/>
        </w:rPr>
      </w:pPr>
      <w:r>
        <w:rPr>
          <w:b/>
          <w:sz w:val="24"/>
          <w:szCs w:val="24"/>
        </w:rPr>
        <w:lastRenderedPageBreak/>
        <w:t xml:space="preserve">(iii) </w:t>
      </w:r>
      <w:r w:rsidR="00974297" w:rsidRPr="00D52069">
        <w:rPr>
          <w:b/>
          <w:sz w:val="24"/>
          <w:szCs w:val="24"/>
        </w:rPr>
        <w:t>Return on Equity</w:t>
      </w:r>
      <w:r w:rsidR="0040471D" w:rsidRPr="00D52069">
        <w:rPr>
          <w:b/>
          <w:sz w:val="24"/>
          <w:szCs w:val="24"/>
        </w:rPr>
        <w:t xml:space="preserve"> (ROE)</w:t>
      </w:r>
    </w:p>
    <w:p w:rsidR="0040471D" w:rsidRDefault="0040471D" w:rsidP="00974297">
      <w:pPr>
        <w:rPr>
          <w:sz w:val="24"/>
          <w:szCs w:val="24"/>
        </w:rPr>
      </w:pPr>
      <w:r w:rsidRPr="00D52069">
        <w:rPr>
          <w:noProof/>
          <w:sz w:val="24"/>
          <w:szCs w:val="24"/>
        </w:rPr>
        <w:drawing>
          <wp:inline distT="0" distB="0" distL="0" distR="0">
            <wp:extent cx="5493772" cy="2043485"/>
            <wp:effectExtent l="19050" t="0" r="11678"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DF41C8" w:rsidRPr="00D52069" w:rsidRDefault="00DF41C8" w:rsidP="00DF41C8">
      <w:pPr>
        <w:rPr>
          <w:sz w:val="24"/>
          <w:szCs w:val="24"/>
        </w:rPr>
      </w:pPr>
      <w:r w:rsidRPr="00D52069">
        <w:rPr>
          <w:sz w:val="24"/>
          <w:szCs w:val="24"/>
        </w:rPr>
        <w:t>ROE shows how smoothly and efficiently a firm can operate to generate profits and grow business by using shareholders money. It shows how the company management is using financing from equity. It allows investors to read previous or past earnings and see how effective a company is at generating profit for shareholders.</w:t>
      </w:r>
    </w:p>
    <w:p w:rsidR="00DF41C8" w:rsidRPr="00D52069" w:rsidRDefault="00DF41C8" w:rsidP="00DF41C8">
      <w:pPr>
        <w:rPr>
          <w:sz w:val="24"/>
          <w:szCs w:val="24"/>
        </w:rPr>
      </w:pPr>
      <w:r w:rsidRPr="00D52069">
        <w:rPr>
          <w:sz w:val="24"/>
          <w:szCs w:val="24"/>
        </w:rPr>
        <w:t>Return on Equity (ROE</w:t>
      </w:r>
      <w:proofErr w:type="gramStart"/>
      <w:r w:rsidRPr="00D52069">
        <w:rPr>
          <w:sz w:val="24"/>
          <w:szCs w:val="24"/>
        </w:rPr>
        <w:t>)=</w:t>
      </w:r>
      <w:proofErr w:type="gramEnd"/>
      <w:r w:rsidRPr="00D52069">
        <w:rPr>
          <w:sz w:val="24"/>
          <w:szCs w:val="24"/>
        </w:rPr>
        <w:t xml:space="preserve"> Net income/ Total Shareholder’s Equity</w:t>
      </w:r>
    </w:p>
    <w:p w:rsidR="00DF41C8" w:rsidRPr="00D52069" w:rsidRDefault="00DF41C8" w:rsidP="00974297">
      <w:pPr>
        <w:rPr>
          <w:sz w:val="24"/>
          <w:szCs w:val="24"/>
        </w:rPr>
      </w:pPr>
    </w:p>
    <w:tbl>
      <w:tblPr>
        <w:tblW w:w="8765" w:type="dxa"/>
        <w:tblInd w:w="95" w:type="dxa"/>
        <w:tblLook w:val="04A0" w:firstRow="1" w:lastRow="0" w:firstColumn="1" w:lastColumn="0" w:noHBand="0" w:noVBand="1"/>
      </w:tblPr>
      <w:tblGrid>
        <w:gridCol w:w="3700"/>
        <w:gridCol w:w="980"/>
        <w:gridCol w:w="238"/>
        <w:gridCol w:w="722"/>
        <w:gridCol w:w="236"/>
        <w:gridCol w:w="785"/>
        <w:gridCol w:w="236"/>
        <w:gridCol w:w="835"/>
        <w:gridCol w:w="236"/>
        <w:gridCol w:w="797"/>
      </w:tblGrid>
      <w:tr w:rsidR="0040471D" w:rsidRPr="00D52069" w:rsidTr="0040471D">
        <w:trPr>
          <w:trHeight w:val="288"/>
        </w:trPr>
        <w:tc>
          <w:tcPr>
            <w:tcW w:w="3700" w:type="dxa"/>
            <w:tcBorders>
              <w:top w:val="nil"/>
              <w:left w:val="nil"/>
              <w:bottom w:val="single" w:sz="4" w:space="0" w:color="auto"/>
              <w:right w:val="single" w:sz="4" w:space="0" w:color="auto"/>
            </w:tcBorders>
            <w:shd w:val="clear" w:color="auto" w:fill="auto"/>
            <w:noWrap/>
            <w:vAlign w:val="bottom"/>
            <w:hideMark/>
          </w:tcPr>
          <w:p w:rsidR="0040471D" w:rsidRPr="00D52069" w:rsidRDefault="0040471D" w:rsidP="0040471D">
            <w:pPr>
              <w:spacing w:after="0" w:line="240" w:lineRule="auto"/>
              <w:rPr>
                <w:rFonts w:ascii="Calibri" w:eastAsia="Times New Roman" w:hAnsi="Calibri" w:cs="Calibri"/>
                <w:color w:val="000000"/>
                <w:sz w:val="24"/>
                <w:szCs w:val="24"/>
              </w:rPr>
            </w:pPr>
          </w:p>
        </w:tc>
        <w:tc>
          <w:tcPr>
            <w:tcW w:w="980" w:type="dxa"/>
            <w:tcBorders>
              <w:top w:val="nil"/>
              <w:left w:val="single" w:sz="4" w:space="0" w:color="auto"/>
              <w:bottom w:val="single" w:sz="4" w:space="0" w:color="auto"/>
              <w:right w:val="nil"/>
            </w:tcBorders>
            <w:shd w:val="clear" w:color="auto" w:fill="auto"/>
            <w:noWrap/>
            <w:vAlign w:val="bottom"/>
            <w:hideMark/>
          </w:tcPr>
          <w:p w:rsidR="0040471D" w:rsidRPr="00D52069" w:rsidRDefault="0040471D" w:rsidP="0040471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2018</w:t>
            </w:r>
          </w:p>
        </w:tc>
        <w:tc>
          <w:tcPr>
            <w:tcW w:w="238" w:type="dxa"/>
            <w:tcBorders>
              <w:top w:val="nil"/>
              <w:left w:val="nil"/>
              <w:bottom w:val="single" w:sz="4" w:space="0" w:color="auto"/>
              <w:right w:val="single" w:sz="4" w:space="0" w:color="auto"/>
            </w:tcBorders>
            <w:shd w:val="clear" w:color="auto" w:fill="auto"/>
            <w:noWrap/>
            <w:vAlign w:val="bottom"/>
            <w:hideMark/>
          </w:tcPr>
          <w:p w:rsidR="0040471D" w:rsidRPr="00D52069" w:rsidRDefault="0040471D" w:rsidP="0040471D">
            <w:pPr>
              <w:spacing w:after="0" w:line="240" w:lineRule="auto"/>
              <w:jc w:val="right"/>
              <w:rPr>
                <w:rFonts w:ascii="Calibri" w:eastAsia="Times New Roman" w:hAnsi="Calibri" w:cs="Calibri"/>
                <w:b/>
                <w:bCs/>
                <w:color w:val="000000"/>
                <w:sz w:val="24"/>
                <w:szCs w:val="24"/>
              </w:rPr>
            </w:pPr>
          </w:p>
        </w:tc>
        <w:tc>
          <w:tcPr>
            <w:tcW w:w="722" w:type="dxa"/>
            <w:tcBorders>
              <w:top w:val="nil"/>
              <w:left w:val="single" w:sz="4" w:space="0" w:color="auto"/>
              <w:bottom w:val="single" w:sz="4" w:space="0" w:color="auto"/>
              <w:right w:val="nil"/>
            </w:tcBorders>
            <w:shd w:val="clear" w:color="auto" w:fill="auto"/>
            <w:vAlign w:val="bottom"/>
          </w:tcPr>
          <w:p w:rsidR="0040471D" w:rsidRPr="00D52069" w:rsidRDefault="0040471D" w:rsidP="0040471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2017</w:t>
            </w:r>
          </w:p>
        </w:tc>
        <w:tc>
          <w:tcPr>
            <w:tcW w:w="236" w:type="dxa"/>
            <w:tcBorders>
              <w:top w:val="nil"/>
              <w:left w:val="nil"/>
              <w:bottom w:val="single" w:sz="4" w:space="0" w:color="auto"/>
              <w:right w:val="single" w:sz="4" w:space="0" w:color="auto"/>
            </w:tcBorders>
            <w:shd w:val="clear" w:color="auto" w:fill="auto"/>
            <w:noWrap/>
            <w:vAlign w:val="bottom"/>
            <w:hideMark/>
          </w:tcPr>
          <w:p w:rsidR="0040471D" w:rsidRPr="00D52069" w:rsidRDefault="0040471D" w:rsidP="0040471D">
            <w:pPr>
              <w:spacing w:after="0" w:line="240" w:lineRule="auto"/>
              <w:jc w:val="right"/>
              <w:rPr>
                <w:rFonts w:ascii="Calibri" w:eastAsia="Times New Roman" w:hAnsi="Calibri" w:cs="Calibri"/>
                <w:b/>
                <w:bCs/>
                <w:color w:val="000000"/>
                <w:sz w:val="24"/>
                <w:szCs w:val="24"/>
              </w:rPr>
            </w:pPr>
          </w:p>
        </w:tc>
        <w:tc>
          <w:tcPr>
            <w:tcW w:w="785" w:type="dxa"/>
            <w:tcBorders>
              <w:top w:val="nil"/>
              <w:left w:val="single" w:sz="4" w:space="0" w:color="auto"/>
              <w:bottom w:val="single" w:sz="4" w:space="0" w:color="auto"/>
              <w:right w:val="nil"/>
            </w:tcBorders>
            <w:shd w:val="clear" w:color="auto" w:fill="auto"/>
            <w:vAlign w:val="bottom"/>
          </w:tcPr>
          <w:p w:rsidR="0040471D" w:rsidRPr="00D52069" w:rsidRDefault="0040471D" w:rsidP="0040471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2016</w:t>
            </w:r>
          </w:p>
        </w:tc>
        <w:tc>
          <w:tcPr>
            <w:tcW w:w="236" w:type="dxa"/>
            <w:tcBorders>
              <w:top w:val="nil"/>
              <w:left w:val="nil"/>
              <w:bottom w:val="single" w:sz="4" w:space="0" w:color="auto"/>
              <w:right w:val="single" w:sz="4" w:space="0" w:color="auto"/>
            </w:tcBorders>
            <w:shd w:val="clear" w:color="auto" w:fill="auto"/>
            <w:noWrap/>
            <w:vAlign w:val="bottom"/>
            <w:hideMark/>
          </w:tcPr>
          <w:p w:rsidR="0040471D" w:rsidRPr="00D52069" w:rsidRDefault="0040471D" w:rsidP="0040471D">
            <w:pPr>
              <w:spacing w:after="0" w:line="240" w:lineRule="auto"/>
              <w:jc w:val="right"/>
              <w:rPr>
                <w:rFonts w:ascii="Calibri" w:eastAsia="Times New Roman" w:hAnsi="Calibri" w:cs="Calibri"/>
                <w:b/>
                <w:bCs/>
                <w:color w:val="000000"/>
                <w:sz w:val="24"/>
                <w:szCs w:val="24"/>
              </w:rPr>
            </w:pPr>
          </w:p>
        </w:tc>
        <w:tc>
          <w:tcPr>
            <w:tcW w:w="835" w:type="dxa"/>
            <w:tcBorders>
              <w:top w:val="nil"/>
              <w:left w:val="single" w:sz="4" w:space="0" w:color="auto"/>
              <w:bottom w:val="single" w:sz="4" w:space="0" w:color="auto"/>
              <w:right w:val="nil"/>
            </w:tcBorders>
            <w:shd w:val="clear" w:color="auto" w:fill="auto"/>
            <w:vAlign w:val="bottom"/>
          </w:tcPr>
          <w:p w:rsidR="0040471D" w:rsidRPr="00D52069" w:rsidRDefault="0040471D" w:rsidP="0040471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2015</w:t>
            </w:r>
          </w:p>
        </w:tc>
        <w:tc>
          <w:tcPr>
            <w:tcW w:w="236" w:type="dxa"/>
            <w:tcBorders>
              <w:top w:val="nil"/>
              <w:left w:val="nil"/>
              <w:bottom w:val="single" w:sz="4" w:space="0" w:color="auto"/>
              <w:right w:val="single" w:sz="4" w:space="0" w:color="auto"/>
            </w:tcBorders>
            <w:shd w:val="clear" w:color="auto" w:fill="auto"/>
            <w:noWrap/>
            <w:vAlign w:val="bottom"/>
            <w:hideMark/>
          </w:tcPr>
          <w:p w:rsidR="0040471D" w:rsidRPr="00D52069" w:rsidRDefault="0040471D" w:rsidP="0040471D">
            <w:pPr>
              <w:spacing w:after="0" w:line="240" w:lineRule="auto"/>
              <w:jc w:val="right"/>
              <w:rPr>
                <w:rFonts w:ascii="Calibri" w:eastAsia="Times New Roman" w:hAnsi="Calibri" w:cs="Calibri"/>
                <w:b/>
                <w:bCs/>
                <w:color w:val="000000"/>
                <w:sz w:val="24"/>
                <w:szCs w:val="24"/>
              </w:rPr>
            </w:pPr>
          </w:p>
        </w:tc>
        <w:tc>
          <w:tcPr>
            <w:tcW w:w="797" w:type="dxa"/>
            <w:tcBorders>
              <w:top w:val="nil"/>
              <w:left w:val="single" w:sz="4" w:space="0" w:color="auto"/>
              <w:bottom w:val="single" w:sz="4" w:space="0" w:color="auto"/>
              <w:right w:val="nil"/>
            </w:tcBorders>
            <w:shd w:val="clear" w:color="auto" w:fill="auto"/>
            <w:vAlign w:val="bottom"/>
          </w:tcPr>
          <w:p w:rsidR="0040471D" w:rsidRPr="00D52069" w:rsidRDefault="0040471D" w:rsidP="0040471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2014</w:t>
            </w:r>
          </w:p>
        </w:tc>
      </w:tr>
      <w:tr w:rsidR="0040471D" w:rsidRPr="00D52069" w:rsidTr="0040471D">
        <w:trPr>
          <w:trHeight w:val="288"/>
        </w:trPr>
        <w:tc>
          <w:tcPr>
            <w:tcW w:w="3700" w:type="dxa"/>
            <w:tcBorders>
              <w:top w:val="single" w:sz="4" w:space="0" w:color="auto"/>
              <w:left w:val="nil"/>
              <w:bottom w:val="nil"/>
              <w:right w:val="single" w:sz="4" w:space="0" w:color="auto"/>
            </w:tcBorders>
            <w:shd w:val="clear" w:color="auto" w:fill="auto"/>
            <w:noWrap/>
            <w:vAlign w:val="bottom"/>
            <w:hideMark/>
          </w:tcPr>
          <w:p w:rsidR="0040471D" w:rsidRPr="00D52069" w:rsidRDefault="0040471D" w:rsidP="0040471D">
            <w:pPr>
              <w:spacing w:after="0" w:line="240" w:lineRule="auto"/>
              <w:rPr>
                <w:rFonts w:ascii="Calibri" w:eastAsia="Times New Roman" w:hAnsi="Calibri" w:cs="Calibri"/>
                <w:color w:val="000000"/>
                <w:sz w:val="24"/>
                <w:szCs w:val="24"/>
              </w:rPr>
            </w:pPr>
            <w:r w:rsidRPr="00D52069">
              <w:rPr>
                <w:rFonts w:ascii="Calibri" w:eastAsia="Times New Roman" w:hAnsi="Calibri" w:cs="Calibri"/>
                <w:color w:val="000000"/>
                <w:sz w:val="24"/>
                <w:szCs w:val="24"/>
              </w:rPr>
              <w:t>ROE %</w:t>
            </w:r>
          </w:p>
        </w:tc>
        <w:tc>
          <w:tcPr>
            <w:tcW w:w="980" w:type="dxa"/>
            <w:tcBorders>
              <w:top w:val="single" w:sz="4" w:space="0" w:color="auto"/>
              <w:left w:val="single" w:sz="4" w:space="0" w:color="auto"/>
              <w:bottom w:val="nil"/>
              <w:right w:val="nil"/>
            </w:tcBorders>
            <w:shd w:val="clear" w:color="auto" w:fill="auto"/>
            <w:noWrap/>
            <w:vAlign w:val="bottom"/>
            <w:hideMark/>
          </w:tcPr>
          <w:p w:rsidR="0040471D" w:rsidRPr="00D52069" w:rsidRDefault="0040471D" w:rsidP="0040471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8.</w:t>
            </w:r>
            <w:r w:rsidR="0043249E">
              <w:rPr>
                <w:rFonts w:ascii="Calibri" w:eastAsia="Times New Roman" w:hAnsi="Calibri" w:cs="Calibri"/>
                <w:b/>
                <w:bCs/>
                <w:color w:val="000000"/>
                <w:sz w:val="24"/>
                <w:szCs w:val="24"/>
              </w:rPr>
              <w:t>35</w:t>
            </w:r>
          </w:p>
        </w:tc>
        <w:tc>
          <w:tcPr>
            <w:tcW w:w="238" w:type="dxa"/>
            <w:tcBorders>
              <w:top w:val="single" w:sz="4" w:space="0" w:color="auto"/>
              <w:left w:val="nil"/>
              <w:bottom w:val="nil"/>
              <w:right w:val="single" w:sz="4" w:space="0" w:color="auto"/>
            </w:tcBorders>
            <w:shd w:val="clear" w:color="auto" w:fill="auto"/>
            <w:noWrap/>
            <w:vAlign w:val="bottom"/>
            <w:hideMark/>
          </w:tcPr>
          <w:p w:rsidR="0040471D" w:rsidRPr="00D52069" w:rsidRDefault="0040471D" w:rsidP="0040471D">
            <w:pPr>
              <w:spacing w:after="0" w:line="240" w:lineRule="auto"/>
              <w:jc w:val="right"/>
              <w:rPr>
                <w:rFonts w:ascii="Calibri" w:eastAsia="Times New Roman" w:hAnsi="Calibri" w:cs="Calibri"/>
                <w:b/>
                <w:bCs/>
                <w:color w:val="000000"/>
                <w:sz w:val="24"/>
                <w:szCs w:val="24"/>
              </w:rPr>
            </w:pPr>
          </w:p>
        </w:tc>
        <w:tc>
          <w:tcPr>
            <w:tcW w:w="722" w:type="dxa"/>
            <w:tcBorders>
              <w:top w:val="single" w:sz="4" w:space="0" w:color="auto"/>
              <w:left w:val="single" w:sz="4" w:space="0" w:color="auto"/>
              <w:bottom w:val="nil"/>
              <w:right w:val="nil"/>
            </w:tcBorders>
            <w:shd w:val="clear" w:color="auto" w:fill="auto"/>
            <w:vAlign w:val="bottom"/>
          </w:tcPr>
          <w:p w:rsidR="0040471D" w:rsidRPr="00D52069" w:rsidRDefault="0040471D" w:rsidP="0040471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4.2</w:t>
            </w:r>
            <w:r w:rsidR="0043249E">
              <w:rPr>
                <w:rFonts w:ascii="Calibri" w:eastAsia="Times New Roman" w:hAnsi="Calibri" w:cs="Calibri"/>
                <w:b/>
                <w:bCs/>
                <w:color w:val="000000"/>
                <w:sz w:val="24"/>
                <w:szCs w:val="24"/>
              </w:rPr>
              <w:t>8</w:t>
            </w:r>
          </w:p>
        </w:tc>
        <w:tc>
          <w:tcPr>
            <w:tcW w:w="236" w:type="dxa"/>
            <w:tcBorders>
              <w:top w:val="single" w:sz="4" w:space="0" w:color="auto"/>
              <w:left w:val="nil"/>
              <w:bottom w:val="nil"/>
              <w:right w:val="single" w:sz="4" w:space="0" w:color="auto"/>
            </w:tcBorders>
            <w:shd w:val="clear" w:color="auto" w:fill="auto"/>
            <w:noWrap/>
            <w:vAlign w:val="bottom"/>
            <w:hideMark/>
          </w:tcPr>
          <w:p w:rsidR="0040471D" w:rsidRPr="00D52069" w:rsidRDefault="0040471D" w:rsidP="0040471D">
            <w:pPr>
              <w:spacing w:after="0" w:line="240" w:lineRule="auto"/>
              <w:jc w:val="right"/>
              <w:rPr>
                <w:rFonts w:ascii="Calibri" w:eastAsia="Times New Roman" w:hAnsi="Calibri" w:cs="Calibri"/>
                <w:b/>
                <w:bCs/>
                <w:color w:val="000000"/>
                <w:sz w:val="24"/>
                <w:szCs w:val="24"/>
              </w:rPr>
            </w:pPr>
          </w:p>
        </w:tc>
        <w:tc>
          <w:tcPr>
            <w:tcW w:w="785" w:type="dxa"/>
            <w:tcBorders>
              <w:top w:val="single" w:sz="4" w:space="0" w:color="auto"/>
              <w:left w:val="single" w:sz="4" w:space="0" w:color="auto"/>
              <w:bottom w:val="nil"/>
              <w:right w:val="nil"/>
            </w:tcBorders>
            <w:shd w:val="clear" w:color="auto" w:fill="auto"/>
            <w:vAlign w:val="bottom"/>
          </w:tcPr>
          <w:p w:rsidR="0040471D" w:rsidRPr="00D52069" w:rsidRDefault="0040471D" w:rsidP="0040471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8.</w:t>
            </w:r>
            <w:r w:rsidR="0043249E">
              <w:rPr>
                <w:rFonts w:ascii="Calibri" w:eastAsia="Times New Roman" w:hAnsi="Calibri" w:cs="Calibri"/>
                <w:b/>
                <w:bCs/>
                <w:color w:val="000000"/>
                <w:sz w:val="24"/>
                <w:szCs w:val="24"/>
              </w:rPr>
              <w:t>68</w:t>
            </w:r>
          </w:p>
        </w:tc>
        <w:tc>
          <w:tcPr>
            <w:tcW w:w="236" w:type="dxa"/>
            <w:tcBorders>
              <w:top w:val="single" w:sz="4" w:space="0" w:color="auto"/>
              <w:left w:val="nil"/>
              <w:bottom w:val="nil"/>
              <w:right w:val="single" w:sz="4" w:space="0" w:color="auto"/>
            </w:tcBorders>
            <w:shd w:val="clear" w:color="auto" w:fill="auto"/>
            <w:noWrap/>
            <w:vAlign w:val="bottom"/>
            <w:hideMark/>
          </w:tcPr>
          <w:p w:rsidR="0040471D" w:rsidRPr="00D52069" w:rsidRDefault="0040471D" w:rsidP="0040471D">
            <w:pPr>
              <w:spacing w:after="0" w:line="240" w:lineRule="auto"/>
              <w:jc w:val="right"/>
              <w:rPr>
                <w:rFonts w:ascii="Calibri" w:eastAsia="Times New Roman" w:hAnsi="Calibri" w:cs="Calibri"/>
                <w:b/>
                <w:bCs/>
                <w:color w:val="000000"/>
                <w:sz w:val="24"/>
                <w:szCs w:val="24"/>
              </w:rPr>
            </w:pPr>
          </w:p>
        </w:tc>
        <w:tc>
          <w:tcPr>
            <w:tcW w:w="835" w:type="dxa"/>
            <w:tcBorders>
              <w:top w:val="single" w:sz="4" w:space="0" w:color="auto"/>
              <w:left w:val="single" w:sz="4" w:space="0" w:color="auto"/>
              <w:bottom w:val="nil"/>
              <w:right w:val="nil"/>
            </w:tcBorders>
            <w:shd w:val="clear" w:color="auto" w:fill="auto"/>
            <w:vAlign w:val="bottom"/>
          </w:tcPr>
          <w:p w:rsidR="0040471D" w:rsidRPr="00D52069" w:rsidRDefault="0040471D" w:rsidP="0040471D">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8.</w:t>
            </w:r>
            <w:r w:rsidR="0043249E">
              <w:rPr>
                <w:rFonts w:ascii="Calibri" w:eastAsia="Times New Roman" w:hAnsi="Calibri" w:cs="Calibri"/>
                <w:b/>
                <w:bCs/>
                <w:color w:val="000000"/>
                <w:sz w:val="24"/>
                <w:szCs w:val="24"/>
              </w:rPr>
              <w:t>09</w:t>
            </w:r>
          </w:p>
        </w:tc>
        <w:tc>
          <w:tcPr>
            <w:tcW w:w="236" w:type="dxa"/>
            <w:tcBorders>
              <w:top w:val="single" w:sz="4" w:space="0" w:color="auto"/>
              <w:left w:val="nil"/>
              <w:bottom w:val="nil"/>
              <w:right w:val="single" w:sz="4" w:space="0" w:color="auto"/>
            </w:tcBorders>
            <w:shd w:val="clear" w:color="auto" w:fill="auto"/>
            <w:noWrap/>
            <w:vAlign w:val="bottom"/>
            <w:hideMark/>
          </w:tcPr>
          <w:p w:rsidR="0040471D" w:rsidRPr="00D52069" w:rsidRDefault="0040471D" w:rsidP="0040471D">
            <w:pPr>
              <w:spacing w:after="0" w:line="240" w:lineRule="auto"/>
              <w:jc w:val="right"/>
              <w:rPr>
                <w:rFonts w:ascii="Calibri" w:eastAsia="Times New Roman" w:hAnsi="Calibri" w:cs="Calibri"/>
                <w:b/>
                <w:bCs/>
                <w:color w:val="000000"/>
                <w:sz w:val="24"/>
                <w:szCs w:val="24"/>
              </w:rPr>
            </w:pPr>
          </w:p>
        </w:tc>
        <w:tc>
          <w:tcPr>
            <w:tcW w:w="797" w:type="dxa"/>
            <w:tcBorders>
              <w:top w:val="single" w:sz="4" w:space="0" w:color="auto"/>
              <w:left w:val="single" w:sz="4" w:space="0" w:color="auto"/>
              <w:bottom w:val="nil"/>
              <w:right w:val="nil"/>
            </w:tcBorders>
            <w:shd w:val="clear" w:color="auto" w:fill="auto"/>
            <w:vAlign w:val="bottom"/>
          </w:tcPr>
          <w:p w:rsidR="0040471D" w:rsidRPr="00D52069" w:rsidRDefault="0043249E" w:rsidP="0040471D">
            <w:pPr>
              <w:spacing w:after="0" w:line="240" w:lineRule="auto"/>
              <w:jc w:val="right"/>
              <w:rPr>
                <w:rFonts w:ascii="Calibri" w:eastAsia="Times New Roman" w:hAnsi="Calibri" w:cs="Calibri"/>
                <w:b/>
                <w:bCs/>
                <w:color w:val="000000"/>
                <w:sz w:val="24"/>
                <w:szCs w:val="24"/>
              </w:rPr>
            </w:pPr>
            <w:r>
              <w:rPr>
                <w:rFonts w:ascii="Calibri" w:eastAsia="Times New Roman" w:hAnsi="Calibri" w:cs="Calibri"/>
                <w:b/>
                <w:bCs/>
                <w:color w:val="000000"/>
                <w:sz w:val="24"/>
                <w:szCs w:val="24"/>
              </w:rPr>
              <w:t>9.78</w:t>
            </w:r>
          </w:p>
        </w:tc>
      </w:tr>
    </w:tbl>
    <w:p w:rsidR="0040471D" w:rsidRPr="00D52069" w:rsidRDefault="0040471D" w:rsidP="00974297">
      <w:pPr>
        <w:rPr>
          <w:sz w:val="24"/>
          <w:szCs w:val="24"/>
        </w:rPr>
      </w:pPr>
    </w:p>
    <w:p w:rsidR="00B07102" w:rsidRPr="00D52069" w:rsidRDefault="0057685C" w:rsidP="00CB4544">
      <w:pPr>
        <w:jc w:val="both"/>
        <w:rPr>
          <w:sz w:val="24"/>
          <w:szCs w:val="24"/>
        </w:rPr>
      </w:pPr>
      <w:r w:rsidRPr="00D52069">
        <w:rPr>
          <w:sz w:val="24"/>
          <w:szCs w:val="24"/>
        </w:rPr>
        <w:t xml:space="preserve">PBL build good relations with their clients and provides solutions that meet desired needs such as retail products, wealth management, transaction banking and corporate finance. Through these activities PBL generates ROE. </w:t>
      </w:r>
      <w:r w:rsidR="0043249E">
        <w:rPr>
          <w:sz w:val="24"/>
          <w:szCs w:val="24"/>
        </w:rPr>
        <w:t>In 2014 PBL had highest ROE of 9.78</w:t>
      </w:r>
      <w:r w:rsidR="0040471D" w:rsidRPr="00D52069">
        <w:rPr>
          <w:sz w:val="24"/>
          <w:szCs w:val="24"/>
        </w:rPr>
        <w:t xml:space="preserve">% which showed that the company was investors fund effectively. In 2015 and 2016 there was a </w:t>
      </w:r>
      <w:r w:rsidR="0006739C" w:rsidRPr="00D52069">
        <w:rPr>
          <w:sz w:val="24"/>
          <w:szCs w:val="24"/>
        </w:rPr>
        <w:t>slight</w:t>
      </w:r>
      <w:r w:rsidR="0040471D" w:rsidRPr="00D52069">
        <w:rPr>
          <w:sz w:val="24"/>
          <w:szCs w:val="24"/>
        </w:rPr>
        <w:t xml:space="preserve"> decrease in ROE</w:t>
      </w:r>
      <w:r w:rsidR="0006739C" w:rsidRPr="00D52069">
        <w:rPr>
          <w:sz w:val="24"/>
          <w:szCs w:val="24"/>
        </w:rPr>
        <w:t xml:space="preserve"> but still both indicators ROA and ROE outperformed the industry average in 2015</w:t>
      </w:r>
      <w:r w:rsidR="0040471D" w:rsidRPr="00D52069">
        <w:rPr>
          <w:sz w:val="24"/>
          <w:szCs w:val="24"/>
        </w:rPr>
        <w:t xml:space="preserve">, In the year 2017 there was a drastic change in figure, PBL face a reduction in ROE by 4 %. PBL managed to overcome the negative situation </w:t>
      </w:r>
      <w:r w:rsidR="00B07102" w:rsidRPr="00D52069">
        <w:rPr>
          <w:sz w:val="24"/>
          <w:szCs w:val="24"/>
        </w:rPr>
        <w:t>and realized gain in the year 2018. The ROE was</w:t>
      </w:r>
      <w:r w:rsidR="0043249E">
        <w:rPr>
          <w:sz w:val="24"/>
          <w:szCs w:val="24"/>
        </w:rPr>
        <w:t xml:space="preserve"> 8.35</w:t>
      </w:r>
      <w:r w:rsidR="00B07102" w:rsidRPr="00D52069">
        <w:rPr>
          <w:sz w:val="24"/>
          <w:szCs w:val="24"/>
        </w:rPr>
        <w:t xml:space="preserve"> % in 2018.</w:t>
      </w:r>
    </w:p>
    <w:p w:rsidR="00B07102" w:rsidRDefault="00B07102" w:rsidP="00CB4544">
      <w:pPr>
        <w:jc w:val="both"/>
        <w:rPr>
          <w:sz w:val="24"/>
          <w:szCs w:val="24"/>
        </w:rPr>
      </w:pPr>
    </w:p>
    <w:p w:rsidR="00926F5C" w:rsidRDefault="00926F5C" w:rsidP="00974297">
      <w:pPr>
        <w:rPr>
          <w:sz w:val="24"/>
          <w:szCs w:val="24"/>
        </w:rPr>
      </w:pPr>
    </w:p>
    <w:p w:rsidR="004B3FCE" w:rsidRPr="00D52069" w:rsidRDefault="004B3FCE" w:rsidP="00974297">
      <w:pPr>
        <w:rPr>
          <w:sz w:val="24"/>
          <w:szCs w:val="24"/>
        </w:rPr>
      </w:pPr>
    </w:p>
    <w:p w:rsidR="004B3FCE" w:rsidRDefault="004B3FCE" w:rsidP="00127653">
      <w:pPr>
        <w:rPr>
          <w:b/>
          <w:sz w:val="24"/>
          <w:szCs w:val="24"/>
        </w:rPr>
      </w:pPr>
    </w:p>
    <w:p w:rsidR="00B07102" w:rsidRPr="00D52069" w:rsidRDefault="00127653" w:rsidP="00127653">
      <w:pPr>
        <w:rPr>
          <w:b/>
          <w:sz w:val="24"/>
          <w:szCs w:val="24"/>
        </w:rPr>
      </w:pPr>
      <w:proofErr w:type="gramStart"/>
      <w:r>
        <w:rPr>
          <w:b/>
          <w:sz w:val="24"/>
          <w:szCs w:val="24"/>
        </w:rPr>
        <w:lastRenderedPageBreak/>
        <w:t xml:space="preserve">(iv) </w:t>
      </w:r>
      <w:r w:rsidR="00B07102" w:rsidRPr="00D52069">
        <w:rPr>
          <w:b/>
          <w:sz w:val="24"/>
          <w:szCs w:val="24"/>
        </w:rPr>
        <w:t>Net</w:t>
      </w:r>
      <w:proofErr w:type="gramEnd"/>
      <w:r w:rsidR="00B07102" w:rsidRPr="00D52069">
        <w:rPr>
          <w:b/>
          <w:sz w:val="24"/>
          <w:szCs w:val="24"/>
        </w:rPr>
        <w:t xml:space="preserve"> Interest Margin (NIM)</w:t>
      </w:r>
    </w:p>
    <w:p w:rsidR="0040471D" w:rsidRPr="00D52069" w:rsidRDefault="00B07102" w:rsidP="00974297">
      <w:pPr>
        <w:rPr>
          <w:sz w:val="24"/>
          <w:szCs w:val="24"/>
        </w:rPr>
      </w:pPr>
      <w:r w:rsidRPr="00D52069">
        <w:rPr>
          <w:sz w:val="24"/>
          <w:szCs w:val="24"/>
        </w:rPr>
        <w:t>Net Interest Margin</w:t>
      </w:r>
      <w:r w:rsidR="0057685C" w:rsidRPr="00D52069">
        <w:rPr>
          <w:sz w:val="24"/>
          <w:szCs w:val="24"/>
        </w:rPr>
        <w:t xml:space="preserve"> (NIM)</w:t>
      </w:r>
      <w:r w:rsidRPr="00D52069">
        <w:rPr>
          <w:sz w:val="24"/>
          <w:szCs w:val="24"/>
        </w:rPr>
        <w:t xml:space="preserve"> is one indicator of Bank’s profitability and growth. Net Interest Margin is the difference between the interest income and the interest paid. It shows how much it generates on interest from credit products compared to interest it pays out on deposits.  </w:t>
      </w:r>
      <w:r w:rsidR="0040471D" w:rsidRPr="00D52069">
        <w:rPr>
          <w:sz w:val="24"/>
          <w:szCs w:val="24"/>
        </w:rPr>
        <w:t xml:space="preserve">  </w:t>
      </w:r>
    </w:p>
    <w:p w:rsidR="00B07102" w:rsidRPr="00D52069" w:rsidRDefault="00B07102" w:rsidP="00974297">
      <w:pPr>
        <w:rPr>
          <w:sz w:val="24"/>
          <w:szCs w:val="24"/>
        </w:rPr>
      </w:pPr>
      <w:r w:rsidRPr="00D52069">
        <w:rPr>
          <w:sz w:val="24"/>
          <w:szCs w:val="24"/>
        </w:rPr>
        <w:t>Net Interest Margin = Interest income-Interest Expense/</w:t>
      </w:r>
      <w:r w:rsidR="0057685C" w:rsidRPr="00D52069">
        <w:rPr>
          <w:sz w:val="24"/>
          <w:szCs w:val="24"/>
        </w:rPr>
        <w:t>Total Assets</w:t>
      </w:r>
    </w:p>
    <w:p w:rsidR="0057685C" w:rsidRPr="00D52069" w:rsidRDefault="0057685C" w:rsidP="00974297">
      <w:pPr>
        <w:rPr>
          <w:sz w:val="24"/>
          <w:szCs w:val="24"/>
        </w:rPr>
      </w:pPr>
      <w:r w:rsidRPr="00D52069">
        <w:rPr>
          <w:noProof/>
          <w:sz w:val="24"/>
          <w:szCs w:val="24"/>
        </w:rPr>
        <w:drawing>
          <wp:inline distT="0" distB="0" distL="0" distR="0">
            <wp:extent cx="5486400" cy="3200400"/>
            <wp:effectExtent l="19050" t="0" r="1905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7685C" w:rsidRPr="00D52069" w:rsidRDefault="0057685C" w:rsidP="00974297">
      <w:pPr>
        <w:rPr>
          <w:sz w:val="24"/>
          <w:szCs w:val="24"/>
        </w:rPr>
      </w:pPr>
    </w:p>
    <w:tbl>
      <w:tblPr>
        <w:tblW w:w="8863" w:type="dxa"/>
        <w:tblInd w:w="95" w:type="dxa"/>
        <w:tblLook w:val="04A0" w:firstRow="1" w:lastRow="0" w:firstColumn="1" w:lastColumn="0" w:noHBand="0" w:noVBand="1"/>
      </w:tblPr>
      <w:tblGrid>
        <w:gridCol w:w="3700"/>
        <w:gridCol w:w="263"/>
        <w:gridCol w:w="717"/>
        <w:gridCol w:w="236"/>
        <w:gridCol w:w="835"/>
        <w:gridCol w:w="236"/>
        <w:gridCol w:w="897"/>
        <w:gridCol w:w="236"/>
        <w:gridCol w:w="760"/>
        <w:gridCol w:w="236"/>
        <w:gridCol w:w="747"/>
      </w:tblGrid>
      <w:tr w:rsidR="0057685C" w:rsidRPr="00D52069" w:rsidTr="0057685C">
        <w:trPr>
          <w:trHeight w:val="288"/>
        </w:trPr>
        <w:tc>
          <w:tcPr>
            <w:tcW w:w="3700" w:type="dxa"/>
            <w:tcBorders>
              <w:top w:val="nil"/>
              <w:left w:val="nil"/>
              <w:bottom w:val="single" w:sz="4" w:space="0" w:color="auto"/>
              <w:right w:val="nil"/>
            </w:tcBorders>
            <w:shd w:val="clear" w:color="auto" w:fill="auto"/>
            <w:noWrap/>
            <w:vAlign w:val="bottom"/>
            <w:hideMark/>
          </w:tcPr>
          <w:p w:rsidR="0057685C" w:rsidRPr="00D52069" w:rsidRDefault="0057685C" w:rsidP="0057685C">
            <w:pPr>
              <w:spacing w:after="0" w:line="240" w:lineRule="auto"/>
              <w:rPr>
                <w:rFonts w:ascii="Calibri" w:eastAsia="Times New Roman" w:hAnsi="Calibri" w:cs="Calibri"/>
                <w:color w:val="000000"/>
                <w:sz w:val="24"/>
                <w:szCs w:val="24"/>
              </w:rPr>
            </w:pPr>
          </w:p>
        </w:tc>
        <w:tc>
          <w:tcPr>
            <w:tcW w:w="263" w:type="dxa"/>
            <w:tcBorders>
              <w:top w:val="nil"/>
              <w:left w:val="nil"/>
              <w:bottom w:val="single" w:sz="4" w:space="0" w:color="auto"/>
              <w:right w:val="single" w:sz="4" w:space="0" w:color="auto"/>
            </w:tcBorders>
            <w:shd w:val="clear" w:color="auto" w:fill="auto"/>
            <w:noWrap/>
            <w:vAlign w:val="bottom"/>
            <w:hideMark/>
          </w:tcPr>
          <w:p w:rsidR="0057685C" w:rsidRPr="00D52069" w:rsidRDefault="0057685C" w:rsidP="0057685C">
            <w:pPr>
              <w:spacing w:after="0" w:line="240" w:lineRule="auto"/>
              <w:jc w:val="right"/>
              <w:rPr>
                <w:rFonts w:ascii="Calibri" w:eastAsia="Times New Roman" w:hAnsi="Calibri" w:cs="Calibri"/>
                <w:b/>
                <w:bCs/>
                <w:color w:val="000000"/>
                <w:sz w:val="24"/>
                <w:szCs w:val="24"/>
              </w:rPr>
            </w:pPr>
          </w:p>
        </w:tc>
        <w:tc>
          <w:tcPr>
            <w:tcW w:w="717" w:type="dxa"/>
            <w:tcBorders>
              <w:top w:val="nil"/>
              <w:left w:val="single" w:sz="4" w:space="0" w:color="auto"/>
              <w:bottom w:val="single" w:sz="4" w:space="0" w:color="auto"/>
              <w:right w:val="nil"/>
            </w:tcBorders>
            <w:shd w:val="clear" w:color="auto" w:fill="auto"/>
            <w:vAlign w:val="bottom"/>
          </w:tcPr>
          <w:p w:rsidR="0057685C" w:rsidRPr="00D52069" w:rsidRDefault="0057685C" w:rsidP="0057685C">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2018</w:t>
            </w:r>
          </w:p>
        </w:tc>
        <w:tc>
          <w:tcPr>
            <w:tcW w:w="236" w:type="dxa"/>
            <w:tcBorders>
              <w:top w:val="nil"/>
              <w:left w:val="nil"/>
              <w:bottom w:val="single" w:sz="4" w:space="0" w:color="auto"/>
              <w:right w:val="single" w:sz="4" w:space="0" w:color="auto"/>
            </w:tcBorders>
            <w:shd w:val="clear" w:color="auto" w:fill="auto"/>
            <w:noWrap/>
            <w:vAlign w:val="bottom"/>
            <w:hideMark/>
          </w:tcPr>
          <w:p w:rsidR="0057685C" w:rsidRPr="00D52069" w:rsidRDefault="0057685C" w:rsidP="0057685C">
            <w:pPr>
              <w:spacing w:after="0" w:line="240" w:lineRule="auto"/>
              <w:jc w:val="right"/>
              <w:rPr>
                <w:rFonts w:ascii="Calibri" w:eastAsia="Times New Roman" w:hAnsi="Calibri" w:cs="Calibri"/>
                <w:b/>
                <w:bCs/>
                <w:color w:val="000000"/>
                <w:sz w:val="24"/>
                <w:szCs w:val="24"/>
              </w:rPr>
            </w:pPr>
          </w:p>
        </w:tc>
        <w:tc>
          <w:tcPr>
            <w:tcW w:w="835" w:type="dxa"/>
            <w:tcBorders>
              <w:top w:val="nil"/>
              <w:left w:val="single" w:sz="4" w:space="0" w:color="auto"/>
              <w:bottom w:val="single" w:sz="4" w:space="0" w:color="auto"/>
              <w:right w:val="nil"/>
            </w:tcBorders>
            <w:shd w:val="clear" w:color="auto" w:fill="auto"/>
            <w:vAlign w:val="bottom"/>
          </w:tcPr>
          <w:p w:rsidR="0057685C" w:rsidRPr="00D52069" w:rsidRDefault="0057685C" w:rsidP="0057685C">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2017</w:t>
            </w:r>
          </w:p>
        </w:tc>
        <w:tc>
          <w:tcPr>
            <w:tcW w:w="236" w:type="dxa"/>
            <w:tcBorders>
              <w:top w:val="nil"/>
              <w:left w:val="nil"/>
              <w:bottom w:val="single" w:sz="4" w:space="0" w:color="auto"/>
              <w:right w:val="single" w:sz="4" w:space="0" w:color="auto"/>
            </w:tcBorders>
            <w:shd w:val="clear" w:color="auto" w:fill="auto"/>
            <w:noWrap/>
            <w:vAlign w:val="bottom"/>
            <w:hideMark/>
          </w:tcPr>
          <w:p w:rsidR="0057685C" w:rsidRPr="00D52069" w:rsidRDefault="0057685C" w:rsidP="0057685C">
            <w:pPr>
              <w:spacing w:after="0" w:line="240" w:lineRule="auto"/>
              <w:jc w:val="right"/>
              <w:rPr>
                <w:rFonts w:ascii="Calibri" w:eastAsia="Times New Roman" w:hAnsi="Calibri" w:cs="Calibri"/>
                <w:b/>
                <w:bCs/>
                <w:color w:val="000000"/>
                <w:sz w:val="24"/>
                <w:szCs w:val="24"/>
              </w:rPr>
            </w:pPr>
          </w:p>
        </w:tc>
        <w:tc>
          <w:tcPr>
            <w:tcW w:w="897" w:type="dxa"/>
            <w:tcBorders>
              <w:top w:val="nil"/>
              <w:left w:val="single" w:sz="4" w:space="0" w:color="auto"/>
              <w:bottom w:val="single" w:sz="4" w:space="0" w:color="auto"/>
              <w:right w:val="nil"/>
            </w:tcBorders>
            <w:shd w:val="clear" w:color="auto" w:fill="auto"/>
            <w:vAlign w:val="bottom"/>
          </w:tcPr>
          <w:p w:rsidR="0057685C" w:rsidRPr="00D52069" w:rsidRDefault="0057685C" w:rsidP="0057685C">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2016</w:t>
            </w:r>
          </w:p>
        </w:tc>
        <w:tc>
          <w:tcPr>
            <w:tcW w:w="236" w:type="dxa"/>
            <w:tcBorders>
              <w:top w:val="nil"/>
              <w:left w:val="nil"/>
              <w:bottom w:val="single" w:sz="4" w:space="0" w:color="auto"/>
              <w:right w:val="single" w:sz="4" w:space="0" w:color="auto"/>
            </w:tcBorders>
            <w:shd w:val="clear" w:color="auto" w:fill="auto"/>
            <w:noWrap/>
            <w:vAlign w:val="bottom"/>
            <w:hideMark/>
          </w:tcPr>
          <w:p w:rsidR="0057685C" w:rsidRPr="00D52069" w:rsidRDefault="0057685C" w:rsidP="0057685C">
            <w:pPr>
              <w:spacing w:after="0" w:line="240" w:lineRule="auto"/>
              <w:jc w:val="right"/>
              <w:rPr>
                <w:rFonts w:ascii="Calibri" w:eastAsia="Times New Roman" w:hAnsi="Calibri" w:cs="Calibri"/>
                <w:b/>
                <w:bCs/>
                <w:color w:val="000000"/>
                <w:sz w:val="24"/>
                <w:szCs w:val="24"/>
              </w:rPr>
            </w:pPr>
          </w:p>
        </w:tc>
        <w:tc>
          <w:tcPr>
            <w:tcW w:w="760" w:type="dxa"/>
            <w:tcBorders>
              <w:top w:val="nil"/>
              <w:left w:val="single" w:sz="4" w:space="0" w:color="auto"/>
              <w:bottom w:val="single" w:sz="4" w:space="0" w:color="auto"/>
              <w:right w:val="nil"/>
            </w:tcBorders>
            <w:shd w:val="clear" w:color="auto" w:fill="auto"/>
            <w:vAlign w:val="bottom"/>
          </w:tcPr>
          <w:p w:rsidR="0057685C" w:rsidRPr="00D52069" w:rsidRDefault="0057685C" w:rsidP="0057685C">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2015</w:t>
            </w:r>
          </w:p>
        </w:tc>
        <w:tc>
          <w:tcPr>
            <w:tcW w:w="236" w:type="dxa"/>
            <w:tcBorders>
              <w:top w:val="nil"/>
              <w:left w:val="nil"/>
              <w:bottom w:val="single" w:sz="4" w:space="0" w:color="auto"/>
              <w:right w:val="single" w:sz="4" w:space="0" w:color="auto"/>
            </w:tcBorders>
            <w:shd w:val="clear" w:color="auto" w:fill="auto"/>
            <w:noWrap/>
            <w:vAlign w:val="bottom"/>
            <w:hideMark/>
          </w:tcPr>
          <w:p w:rsidR="0057685C" w:rsidRPr="00D52069" w:rsidRDefault="0057685C" w:rsidP="0057685C">
            <w:pPr>
              <w:spacing w:after="0" w:line="240" w:lineRule="auto"/>
              <w:jc w:val="right"/>
              <w:rPr>
                <w:rFonts w:ascii="Calibri" w:eastAsia="Times New Roman" w:hAnsi="Calibri" w:cs="Calibri"/>
                <w:b/>
                <w:bCs/>
                <w:color w:val="000000"/>
                <w:sz w:val="24"/>
                <w:szCs w:val="24"/>
              </w:rPr>
            </w:pPr>
          </w:p>
        </w:tc>
        <w:tc>
          <w:tcPr>
            <w:tcW w:w="747" w:type="dxa"/>
            <w:tcBorders>
              <w:top w:val="nil"/>
              <w:left w:val="single" w:sz="4" w:space="0" w:color="auto"/>
              <w:bottom w:val="single" w:sz="4" w:space="0" w:color="auto"/>
              <w:right w:val="nil"/>
            </w:tcBorders>
            <w:shd w:val="clear" w:color="auto" w:fill="auto"/>
            <w:vAlign w:val="bottom"/>
          </w:tcPr>
          <w:p w:rsidR="0057685C" w:rsidRPr="00D52069" w:rsidRDefault="0057685C" w:rsidP="0057685C">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2014</w:t>
            </w:r>
          </w:p>
        </w:tc>
      </w:tr>
      <w:tr w:rsidR="0057685C" w:rsidRPr="00D52069" w:rsidTr="0057685C">
        <w:trPr>
          <w:trHeight w:val="288"/>
        </w:trPr>
        <w:tc>
          <w:tcPr>
            <w:tcW w:w="3700" w:type="dxa"/>
            <w:tcBorders>
              <w:top w:val="single" w:sz="4" w:space="0" w:color="auto"/>
              <w:left w:val="nil"/>
              <w:bottom w:val="nil"/>
              <w:right w:val="nil"/>
            </w:tcBorders>
            <w:shd w:val="clear" w:color="auto" w:fill="auto"/>
            <w:noWrap/>
            <w:vAlign w:val="bottom"/>
            <w:hideMark/>
          </w:tcPr>
          <w:p w:rsidR="0057685C" w:rsidRPr="00D52069" w:rsidRDefault="0057685C" w:rsidP="0057685C">
            <w:pPr>
              <w:spacing w:after="0" w:line="240" w:lineRule="auto"/>
              <w:rPr>
                <w:rFonts w:ascii="Calibri" w:eastAsia="Times New Roman" w:hAnsi="Calibri" w:cs="Calibri"/>
                <w:color w:val="000000"/>
                <w:sz w:val="24"/>
                <w:szCs w:val="24"/>
              </w:rPr>
            </w:pPr>
            <w:r w:rsidRPr="00D52069">
              <w:rPr>
                <w:rFonts w:ascii="Calibri" w:eastAsia="Times New Roman" w:hAnsi="Calibri" w:cs="Calibri"/>
                <w:color w:val="000000"/>
                <w:sz w:val="24"/>
                <w:szCs w:val="24"/>
              </w:rPr>
              <w:t>Net Interest Margin %</w:t>
            </w:r>
          </w:p>
        </w:tc>
        <w:tc>
          <w:tcPr>
            <w:tcW w:w="263" w:type="dxa"/>
            <w:tcBorders>
              <w:top w:val="single" w:sz="4" w:space="0" w:color="auto"/>
              <w:left w:val="nil"/>
              <w:bottom w:val="nil"/>
              <w:right w:val="single" w:sz="4" w:space="0" w:color="auto"/>
            </w:tcBorders>
            <w:shd w:val="clear" w:color="auto" w:fill="auto"/>
            <w:noWrap/>
            <w:vAlign w:val="bottom"/>
            <w:hideMark/>
          </w:tcPr>
          <w:p w:rsidR="0057685C" w:rsidRPr="00D52069" w:rsidRDefault="0057685C" w:rsidP="0057685C">
            <w:pPr>
              <w:spacing w:after="0" w:line="240" w:lineRule="auto"/>
              <w:jc w:val="right"/>
              <w:rPr>
                <w:rFonts w:ascii="Calibri" w:eastAsia="Times New Roman" w:hAnsi="Calibri" w:cs="Calibri"/>
                <w:b/>
                <w:bCs/>
                <w:color w:val="000000"/>
                <w:sz w:val="24"/>
                <w:szCs w:val="24"/>
              </w:rPr>
            </w:pPr>
          </w:p>
        </w:tc>
        <w:tc>
          <w:tcPr>
            <w:tcW w:w="717" w:type="dxa"/>
            <w:tcBorders>
              <w:top w:val="single" w:sz="4" w:space="0" w:color="auto"/>
              <w:left w:val="single" w:sz="4" w:space="0" w:color="auto"/>
              <w:bottom w:val="nil"/>
              <w:right w:val="nil"/>
            </w:tcBorders>
            <w:shd w:val="clear" w:color="auto" w:fill="auto"/>
            <w:vAlign w:val="bottom"/>
          </w:tcPr>
          <w:p w:rsidR="0057685C" w:rsidRPr="00D52069" w:rsidRDefault="0057685C" w:rsidP="0057685C">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3.62</w:t>
            </w:r>
          </w:p>
        </w:tc>
        <w:tc>
          <w:tcPr>
            <w:tcW w:w="236" w:type="dxa"/>
            <w:tcBorders>
              <w:top w:val="single" w:sz="4" w:space="0" w:color="auto"/>
              <w:left w:val="nil"/>
              <w:bottom w:val="nil"/>
              <w:right w:val="single" w:sz="4" w:space="0" w:color="auto"/>
            </w:tcBorders>
            <w:shd w:val="clear" w:color="auto" w:fill="auto"/>
            <w:noWrap/>
            <w:vAlign w:val="bottom"/>
            <w:hideMark/>
          </w:tcPr>
          <w:p w:rsidR="0057685C" w:rsidRPr="00D52069" w:rsidRDefault="0057685C" w:rsidP="0057685C">
            <w:pPr>
              <w:spacing w:after="0" w:line="240" w:lineRule="auto"/>
              <w:jc w:val="right"/>
              <w:rPr>
                <w:rFonts w:ascii="Calibri" w:eastAsia="Times New Roman" w:hAnsi="Calibri" w:cs="Calibri"/>
                <w:b/>
                <w:bCs/>
                <w:color w:val="000000"/>
                <w:sz w:val="24"/>
                <w:szCs w:val="24"/>
              </w:rPr>
            </w:pPr>
          </w:p>
        </w:tc>
        <w:tc>
          <w:tcPr>
            <w:tcW w:w="835" w:type="dxa"/>
            <w:tcBorders>
              <w:top w:val="single" w:sz="4" w:space="0" w:color="auto"/>
              <w:left w:val="single" w:sz="4" w:space="0" w:color="auto"/>
              <w:bottom w:val="nil"/>
              <w:right w:val="nil"/>
            </w:tcBorders>
            <w:shd w:val="clear" w:color="auto" w:fill="auto"/>
            <w:vAlign w:val="bottom"/>
          </w:tcPr>
          <w:p w:rsidR="0057685C" w:rsidRPr="00D52069" w:rsidRDefault="0057685C" w:rsidP="0057685C">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2.56</w:t>
            </w:r>
          </w:p>
        </w:tc>
        <w:tc>
          <w:tcPr>
            <w:tcW w:w="236" w:type="dxa"/>
            <w:tcBorders>
              <w:top w:val="single" w:sz="4" w:space="0" w:color="auto"/>
              <w:left w:val="nil"/>
              <w:bottom w:val="nil"/>
              <w:right w:val="single" w:sz="4" w:space="0" w:color="auto"/>
            </w:tcBorders>
            <w:shd w:val="clear" w:color="auto" w:fill="auto"/>
            <w:noWrap/>
            <w:vAlign w:val="bottom"/>
            <w:hideMark/>
          </w:tcPr>
          <w:p w:rsidR="0057685C" w:rsidRPr="00D52069" w:rsidRDefault="0057685C" w:rsidP="0057685C">
            <w:pPr>
              <w:spacing w:after="0" w:line="240" w:lineRule="auto"/>
              <w:jc w:val="right"/>
              <w:rPr>
                <w:rFonts w:ascii="Calibri" w:eastAsia="Times New Roman" w:hAnsi="Calibri" w:cs="Calibri"/>
                <w:b/>
                <w:bCs/>
                <w:color w:val="000000"/>
                <w:sz w:val="24"/>
                <w:szCs w:val="24"/>
              </w:rPr>
            </w:pPr>
          </w:p>
        </w:tc>
        <w:tc>
          <w:tcPr>
            <w:tcW w:w="897" w:type="dxa"/>
            <w:tcBorders>
              <w:top w:val="single" w:sz="4" w:space="0" w:color="auto"/>
              <w:left w:val="single" w:sz="4" w:space="0" w:color="auto"/>
              <w:bottom w:val="nil"/>
              <w:right w:val="nil"/>
            </w:tcBorders>
            <w:shd w:val="clear" w:color="auto" w:fill="auto"/>
            <w:vAlign w:val="bottom"/>
          </w:tcPr>
          <w:p w:rsidR="0057685C" w:rsidRPr="00D52069" w:rsidRDefault="0057685C" w:rsidP="0057685C">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2.02</w:t>
            </w:r>
          </w:p>
        </w:tc>
        <w:tc>
          <w:tcPr>
            <w:tcW w:w="236" w:type="dxa"/>
            <w:tcBorders>
              <w:top w:val="single" w:sz="4" w:space="0" w:color="auto"/>
              <w:left w:val="nil"/>
              <w:bottom w:val="nil"/>
              <w:right w:val="single" w:sz="4" w:space="0" w:color="auto"/>
            </w:tcBorders>
            <w:shd w:val="clear" w:color="auto" w:fill="auto"/>
            <w:noWrap/>
            <w:vAlign w:val="bottom"/>
            <w:hideMark/>
          </w:tcPr>
          <w:p w:rsidR="0057685C" w:rsidRPr="00D52069" w:rsidRDefault="0057685C" w:rsidP="0057685C">
            <w:pPr>
              <w:spacing w:after="0" w:line="240" w:lineRule="auto"/>
              <w:jc w:val="right"/>
              <w:rPr>
                <w:rFonts w:ascii="Calibri" w:eastAsia="Times New Roman" w:hAnsi="Calibri" w:cs="Calibri"/>
                <w:b/>
                <w:bCs/>
                <w:color w:val="000000"/>
                <w:sz w:val="24"/>
                <w:szCs w:val="24"/>
              </w:rPr>
            </w:pPr>
          </w:p>
        </w:tc>
        <w:tc>
          <w:tcPr>
            <w:tcW w:w="760" w:type="dxa"/>
            <w:tcBorders>
              <w:top w:val="single" w:sz="4" w:space="0" w:color="auto"/>
              <w:left w:val="single" w:sz="4" w:space="0" w:color="auto"/>
              <w:bottom w:val="nil"/>
              <w:right w:val="nil"/>
            </w:tcBorders>
            <w:shd w:val="clear" w:color="auto" w:fill="auto"/>
            <w:vAlign w:val="bottom"/>
          </w:tcPr>
          <w:p w:rsidR="0057685C" w:rsidRPr="00D52069" w:rsidRDefault="0057685C" w:rsidP="0057685C">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0.86</w:t>
            </w:r>
          </w:p>
        </w:tc>
        <w:tc>
          <w:tcPr>
            <w:tcW w:w="236" w:type="dxa"/>
            <w:tcBorders>
              <w:top w:val="single" w:sz="4" w:space="0" w:color="auto"/>
              <w:left w:val="nil"/>
              <w:bottom w:val="nil"/>
              <w:right w:val="single" w:sz="4" w:space="0" w:color="auto"/>
            </w:tcBorders>
            <w:shd w:val="clear" w:color="auto" w:fill="auto"/>
            <w:noWrap/>
            <w:vAlign w:val="bottom"/>
            <w:hideMark/>
          </w:tcPr>
          <w:p w:rsidR="0057685C" w:rsidRPr="00D52069" w:rsidRDefault="0057685C" w:rsidP="0057685C">
            <w:pPr>
              <w:spacing w:after="0" w:line="240" w:lineRule="auto"/>
              <w:jc w:val="right"/>
              <w:rPr>
                <w:rFonts w:ascii="Calibri" w:eastAsia="Times New Roman" w:hAnsi="Calibri" w:cs="Calibri"/>
                <w:b/>
                <w:bCs/>
                <w:color w:val="000000"/>
                <w:sz w:val="24"/>
                <w:szCs w:val="24"/>
              </w:rPr>
            </w:pPr>
          </w:p>
        </w:tc>
        <w:tc>
          <w:tcPr>
            <w:tcW w:w="747" w:type="dxa"/>
            <w:tcBorders>
              <w:top w:val="single" w:sz="4" w:space="0" w:color="auto"/>
              <w:left w:val="single" w:sz="4" w:space="0" w:color="auto"/>
              <w:bottom w:val="nil"/>
              <w:right w:val="nil"/>
            </w:tcBorders>
            <w:shd w:val="clear" w:color="auto" w:fill="auto"/>
            <w:vAlign w:val="bottom"/>
          </w:tcPr>
          <w:p w:rsidR="0057685C" w:rsidRPr="00D52069" w:rsidRDefault="0057685C" w:rsidP="0057685C">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1.91</w:t>
            </w:r>
          </w:p>
        </w:tc>
      </w:tr>
    </w:tbl>
    <w:p w:rsidR="0057685C" w:rsidRPr="00D52069" w:rsidRDefault="0057685C" w:rsidP="00974297">
      <w:pPr>
        <w:rPr>
          <w:sz w:val="24"/>
          <w:szCs w:val="24"/>
        </w:rPr>
      </w:pPr>
    </w:p>
    <w:p w:rsidR="0057685C" w:rsidRPr="00D52069" w:rsidRDefault="0057685C" w:rsidP="00974297">
      <w:pPr>
        <w:rPr>
          <w:sz w:val="24"/>
          <w:szCs w:val="24"/>
        </w:rPr>
      </w:pPr>
    </w:p>
    <w:p w:rsidR="0057685C" w:rsidRPr="00D52069" w:rsidRDefault="0057685C" w:rsidP="00974297">
      <w:pPr>
        <w:rPr>
          <w:sz w:val="24"/>
          <w:szCs w:val="24"/>
        </w:rPr>
      </w:pPr>
      <w:r w:rsidRPr="00D52069">
        <w:rPr>
          <w:sz w:val="24"/>
          <w:szCs w:val="24"/>
        </w:rPr>
        <w:t xml:space="preserve">Interpretation: </w:t>
      </w:r>
      <w:r w:rsidR="00E3646F" w:rsidRPr="00D52069">
        <w:rPr>
          <w:sz w:val="24"/>
          <w:szCs w:val="24"/>
        </w:rPr>
        <w:t>NIM of PBL increased from 2015 to 2018.</w:t>
      </w:r>
      <w:r w:rsidR="00CB3E3A" w:rsidRPr="00D52069">
        <w:rPr>
          <w:sz w:val="24"/>
          <w:szCs w:val="24"/>
        </w:rPr>
        <w:t xml:space="preserve"> In 2018 NIM stood at 3.62% and in the year 2017 it was 2.56 %.</w:t>
      </w:r>
      <w:r w:rsidR="00E3646F" w:rsidRPr="00D52069">
        <w:rPr>
          <w:sz w:val="24"/>
          <w:szCs w:val="24"/>
        </w:rPr>
        <w:t xml:space="preserve"> It indicated that bank is good at managing the interest rate of loans and deposits.</w:t>
      </w:r>
    </w:p>
    <w:p w:rsidR="00691FF0" w:rsidRPr="00D52069" w:rsidRDefault="00691FF0" w:rsidP="00974297">
      <w:pPr>
        <w:rPr>
          <w:sz w:val="24"/>
          <w:szCs w:val="24"/>
        </w:rPr>
      </w:pPr>
    </w:p>
    <w:p w:rsidR="001E2D4B" w:rsidRDefault="001E2D4B" w:rsidP="00471D59">
      <w:pPr>
        <w:jc w:val="center"/>
        <w:rPr>
          <w:b/>
          <w:sz w:val="24"/>
          <w:szCs w:val="24"/>
        </w:rPr>
      </w:pPr>
    </w:p>
    <w:p w:rsidR="00926F5C" w:rsidRPr="00D52069" w:rsidRDefault="00926F5C" w:rsidP="00471D59">
      <w:pPr>
        <w:jc w:val="center"/>
        <w:rPr>
          <w:b/>
          <w:sz w:val="24"/>
          <w:szCs w:val="24"/>
        </w:rPr>
      </w:pPr>
    </w:p>
    <w:p w:rsidR="001E2D4B" w:rsidRPr="00D52069" w:rsidRDefault="001E2D4B" w:rsidP="008D74BC">
      <w:pPr>
        <w:rPr>
          <w:b/>
          <w:sz w:val="24"/>
          <w:szCs w:val="24"/>
        </w:rPr>
      </w:pPr>
    </w:p>
    <w:p w:rsidR="00691FF0" w:rsidRPr="00D52069" w:rsidRDefault="00127653" w:rsidP="00127653">
      <w:pPr>
        <w:rPr>
          <w:b/>
          <w:sz w:val="24"/>
          <w:szCs w:val="24"/>
        </w:rPr>
      </w:pPr>
      <w:r>
        <w:rPr>
          <w:b/>
          <w:sz w:val="24"/>
          <w:szCs w:val="24"/>
        </w:rPr>
        <w:lastRenderedPageBreak/>
        <w:t xml:space="preserve">(v) </w:t>
      </w:r>
      <w:r w:rsidR="00691FF0" w:rsidRPr="00D52069">
        <w:rPr>
          <w:b/>
          <w:sz w:val="24"/>
          <w:szCs w:val="24"/>
        </w:rPr>
        <w:t>Cost Income Ratio</w:t>
      </w:r>
    </w:p>
    <w:p w:rsidR="00471D59" w:rsidRPr="00D52069" w:rsidRDefault="00471D59" w:rsidP="00C82896">
      <w:pPr>
        <w:jc w:val="center"/>
        <w:rPr>
          <w:sz w:val="24"/>
          <w:szCs w:val="24"/>
        </w:rPr>
      </w:pPr>
      <w:r w:rsidRPr="00D52069">
        <w:rPr>
          <w:noProof/>
          <w:sz w:val="24"/>
          <w:szCs w:val="24"/>
        </w:rPr>
        <w:drawing>
          <wp:inline distT="0" distB="0" distL="0" distR="0">
            <wp:extent cx="5486400" cy="3200400"/>
            <wp:effectExtent l="19050" t="0" r="1905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tbl>
      <w:tblPr>
        <w:tblW w:w="8951" w:type="dxa"/>
        <w:tblInd w:w="95" w:type="dxa"/>
        <w:tblLook w:val="04A0" w:firstRow="1" w:lastRow="0" w:firstColumn="1" w:lastColumn="0" w:noHBand="0" w:noVBand="1"/>
      </w:tblPr>
      <w:tblGrid>
        <w:gridCol w:w="3700"/>
        <w:gridCol w:w="236"/>
        <w:gridCol w:w="830"/>
        <w:gridCol w:w="236"/>
        <w:gridCol w:w="860"/>
        <w:gridCol w:w="236"/>
        <w:gridCol w:w="822"/>
        <w:gridCol w:w="236"/>
        <w:gridCol w:w="835"/>
        <w:gridCol w:w="960"/>
      </w:tblGrid>
      <w:tr w:rsidR="00C82896" w:rsidRPr="00D52069" w:rsidTr="00C82896">
        <w:trPr>
          <w:trHeight w:val="288"/>
        </w:trPr>
        <w:tc>
          <w:tcPr>
            <w:tcW w:w="3700" w:type="dxa"/>
            <w:tcBorders>
              <w:top w:val="nil"/>
              <w:left w:val="nil"/>
              <w:bottom w:val="single" w:sz="4" w:space="0" w:color="auto"/>
              <w:right w:val="nil"/>
            </w:tcBorders>
            <w:shd w:val="clear" w:color="auto" w:fill="auto"/>
            <w:noWrap/>
            <w:vAlign w:val="bottom"/>
            <w:hideMark/>
          </w:tcPr>
          <w:p w:rsidR="00C82896" w:rsidRPr="00D52069" w:rsidRDefault="00C82896" w:rsidP="00C82896">
            <w:pPr>
              <w:spacing w:after="0" w:line="240" w:lineRule="auto"/>
              <w:rPr>
                <w:rFonts w:ascii="Calibri" w:eastAsia="Times New Roman" w:hAnsi="Calibri" w:cs="Calibri"/>
                <w:color w:val="000000"/>
                <w:sz w:val="24"/>
                <w:szCs w:val="24"/>
              </w:rPr>
            </w:pPr>
          </w:p>
        </w:tc>
        <w:tc>
          <w:tcPr>
            <w:tcW w:w="236" w:type="dxa"/>
            <w:tcBorders>
              <w:top w:val="nil"/>
              <w:left w:val="nil"/>
              <w:bottom w:val="single" w:sz="4" w:space="0" w:color="auto"/>
              <w:right w:val="single" w:sz="4" w:space="0" w:color="auto"/>
            </w:tcBorders>
            <w:shd w:val="clear" w:color="auto" w:fill="auto"/>
            <w:noWrap/>
            <w:vAlign w:val="bottom"/>
            <w:hideMark/>
          </w:tcPr>
          <w:p w:rsidR="00C82896" w:rsidRPr="00D52069" w:rsidRDefault="00C82896" w:rsidP="00C82896">
            <w:pPr>
              <w:spacing w:after="0" w:line="240" w:lineRule="auto"/>
              <w:jc w:val="right"/>
              <w:rPr>
                <w:rFonts w:ascii="Calibri" w:eastAsia="Times New Roman" w:hAnsi="Calibri" w:cs="Calibri"/>
                <w:b/>
                <w:bCs/>
                <w:color w:val="000000"/>
                <w:sz w:val="24"/>
                <w:szCs w:val="24"/>
              </w:rPr>
            </w:pPr>
          </w:p>
        </w:tc>
        <w:tc>
          <w:tcPr>
            <w:tcW w:w="830" w:type="dxa"/>
            <w:tcBorders>
              <w:top w:val="nil"/>
              <w:left w:val="single" w:sz="4" w:space="0" w:color="auto"/>
              <w:bottom w:val="single" w:sz="4" w:space="0" w:color="auto"/>
              <w:right w:val="nil"/>
            </w:tcBorders>
            <w:shd w:val="clear" w:color="auto" w:fill="auto"/>
            <w:vAlign w:val="bottom"/>
          </w:tcPr>
          <w:p w:rsidR="00C82896" w:rsidRPr="00D52069" w:rsidRDefault="00C82896" w:rsidP="00C82896">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2018</w:t>
            </w:r>
          </w:p>
        </w:tc>
        <w:tc>
          <w:tcPr>
            <w:tcW w:w="236" w:type="dxa"/>
            <w:tcBorders>
              <w:top w:val="nil"/>
              <w:left w:val="nil"/>
              <w:bottom w:val="single" w:sz="4" w:space="0" w:color="auto"/>
              <w:right w:val="single" w:sz="4" w:space="0" w:color="auto"/>
            </w:tcBorders>
            <w:shd w:val="clear" w:color="auto" w:fill="auto"/>
            <w:noWrap/>
            <w:vAlign w:val="bottom"/>
            <w:hideMark/>
          </w:tcPr>
          <w:p w:rsidR="00C82896" w:rsidRPr="00D52069" w:rsidRDefault="00C82896" w:rsidP="00C82896">
            <w:pPr>
              <w:spacing w:after="0" w:line="240" w:lineRule="auto"/>
              <w:jc w:val="right"/>
              <w:rPr>
                <w:rFonts w:ascii="Calibri" w:eastAsia="Times New Roman" w:hAnsi="Calibri" w:cs="Calibri"/>
                <w:b/>
                <w:bCs/>
                <w:color w:val="000000"/>
                <w:sz w:val="24"/>
                <w:szCs w:val="24"/>
              </w:rPr>
            </w:pPr>
          </w:p>
        </w:tc>
        <w:tc>
          <w:tcPr>
            <w:tcW w:w="860" w:type="dxa"/>
            <w:tcBorders>
              <w:top w:val="nil"/>
              <w:left w:val="single" w:sz="4" w:space="0" w:color="auto"/>
              <w:bottom w:val="single" w:sz="4" w:space="0" w:color="auto"/>
              <w:right w:val="nil"/>
            </w:tcBorders>
            <w:shd w:val="clear" w:color="auto" w:fill="auto"/>
            <w:vAlign w:val="bottom"/>
          </w:tcPr>
          <w:p w:rsidR="00C82896" w:rsidRPr="00D52069" w:rsidRDefault="00C82896" w:rsidP="00C82896">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2017</w:t>
            </w:r>
          </w:p>
        </w:tc>
        <w:tc>
          <w:tcPr>
            <w:tcW w:w="236" w:type="dxa"/>
            <w:tcBorders>
              <w:top w:val="nil"/>
              <w:left w:val="nil"/>
              <w:bottom w:val="single" w:sz="4" w:space="0" w:color="auto"/>
              <w:right w:val="single" w:sz="4" w:space="0" w:color="auto"/>
            </w:tcBorders>
            <w:shd w:val="clear" w:color="auto" w:fill="auto"/>
            <w:noWrap/>
            <w:vAlign w:val="bottom"/>
            <w:hideMark/>
          </w:tcPr>
          <w:p w:rsidR="00C82896" w:rsidRPr="00D52069" w:rsidRDefault="00C82896" w:rsidP="00C82896">
            <w:pPr>
              <w:spacing w:after="0" w:line="240" w:lineRule="auto"/>
              <w:jc w:val="right"/>
              <w:rPr>
                <w:rFonts w:ascii="Calibri" w:eastAsia="Times New Roman" w:hAnsi="Calibri" w:cs="Calibri"/>
                <w:b/>
                <w:bCs/>
                <w:color w:val="000000"/>
                <w:sz w:val="24"/>
                <w:szCs w:val="24"/>
              </w:rPr>
            </w:pPr>
          </w:p>
        </w:tc>
        <w:tc>
          <w:tcPr>
            <w:tcW w:w="822" w:type="dxa"/>
            <w:tcBorders>
              <w:top w:val="nil"/>
              <w:left w:val="single" w:sz="4" w:space="0" w:color="auto"/>
              <w:bottom w:val="single" w:sz="4" w:space="0" w:color="auto"/>
              <w:right w:val="nil"/>
            </w:tcBorders>
            <w:shd w:val="clear" w:color="auto" w:fill="auto"/>
            <w:vAlign w:val="bottom"/>
          </w:tcPr>
          <w:p w:rsidR="00C82896" w:rsidRPr="00D52069" w:rsidRDefault="00C82896" w:rsidP="00C82896">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2016</w:t>
            </w:r>
          </w:p>
        </w:tc>
        <w:tc>
          <w:tcPr>
            <w:tcW w:w="236" w:type="dxa"/>
            <w:tcBorders>
              <w:top w:val="nil"/>
              <w:left w:val="nil"/>
              <w:bottom w:val="single" w:sz="4" w:space="0" w:color="auto"/>
              <w:right w:val="single" w:sz="4" w:space="0" w:color="auto"/>
            </w:tcBorders>
            <w:shd w:val="clear" w:color="auto" w:fill="auto"/>
            <w:noWrap/>
            <w:vAlign w:val="bottom"/>
            <w:hideMark/>
          </w:tcPr>
          <w:p w:rsidR="00C82896" w:rsidRPr="00D52069" w:rsidRDefault="00C82896" w:rsidP="00C82896">
            <w:pPr>
              <w:spacing w:after="0" w:line="240" w:lineRule="auto"/>
              <w:jc w:val="right"/>
              <w:rPr>
                <w:rFonts w:ascii="Calibri" w:eastAsia="Times New Roman" w:hAnsi="Calibri" w:cs="Calibri"/>
                <w:b/>
                <w:bCs/>
                <w:color w:val="000000"/>
                <w:sz w:val="24"/>
                <w:szCs w:val="24"/>
              </w:rPr>
            </w:pPr>
          </w:p>
        </w:tc>
        <w:tc>
          <w:tcPr>
            <w:tcW w:w="835" w:type="dxa"/>
            <w:tcBorders>
              <w:top w:val="nil"/>
              <w:left w:val="single" w:sz="4" w:space="0" w:color="auto"/>
              <w:bottom w:val="single" w:sz="4" w:space="0" w:color="auto"/>
              <w:right w:val="single" w:sz="4" w:space="0" w:color="auto"/>
            </w:tcBorders>
            <w:shd w:val="clear" w:color="auto" w:fill="auto"/>
            <w:vAlign w:val="bottom"/>
          </w:tcPr>
          <w:p w:rsidR="00C82896" w:rsidRPr="00D52069" w:rsidRDefault="00C82896" w:rsidP="00C82896">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2015</w:t>
            </w:r>
          </w:p>
        </w:tc>
        <w:tc>
          <w:tcPr>
            <w:tcW w:w="960" w:type="dxa"/>
            <w:tcBorders>
              <w:top w:val="nil"/>
              <w:left w:val="single" w:sz="4" w:space="0" w:color="auto"/>
              <w:bottom w:val="single" w:sz="4" w:space="0" w:color="auto"/>
              <w:right w:val="nil"/>
            </w:tcBorders>
            <w:shd w:val="clear" w:color="auto" w:fill="auto"/>
            <w:noWrap/>
            <w:vAlign w:val="bottom"/>
            <w:hideMark/>
          </w:tcPr>
          <w:p w:rsidR="00C82896" w:rsidRPr="00D52069" w:rsidRDefault="00C82896" w:rsidP="00C82896">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2014</w:t>
            </w:r>
          </w:p>
        </w:tc>
      </w:tr>
      <w:tr w:rsidR="00C82896" w:rsidRPr="00D52069" w:rsidTr="00C82896">
        <w:trPr>
          <w:trHeight w:val="288"/>
        </w:trPr>
        <w:tc>
          <w:tcPr>
            <w:tcW w:w="3700" w:type="dxa"/>
            <w:tcBorders>
              <w:top w:val="single" w:sz="4" w:space="0" w:color="auto"/>
              <w:left w:val="nil"/>
              <w:bottom w:val="nil"/>
              <w:right w:val="nil"/>
            </w:tcBorders>
            <w:shd w:val="clear" w:color="auto" w:fill="auto"/>
            <w:noWrap/>
            <w:vAlign w:val="bottom"/>
            <w:hideMark/>
          </w:tcPr>
          <w:p w:rsidR="00C82896" w:rsidRPr="00D52069" w:rsidRDefault="00C82896" w:rsidP="00C82896">
            <w:pPr>
              <w:spacing w:after="0" w:line="240" w:lineRule="auto"/>
              <w:rPr>
                <w:rFonts w:ascii="Calibri" w:eastAsia="Times New Roman" w:hAnsi="Calibri" w:cs="Calibri"/>
                <w:color w:val="000000"/>
                <w:sz w:val="24"/>
                <w:szCs w:val="24"/>
              </w:rPr>
            </w:pPr>
            <w:r w:rsidRPr="00D52069">
              <w:rPr>
                <w:rFonts w:ascii="Calibri" w:eastAsia="Times New Roman" w:hAnsi="Calibri" w:cs="Calibri"/>
                <w:color w:val="000000"/>
                <w:sz w:val="24"/>
                <w:szCs w:val="24"/>
              </w:rPr>
              <w:t>Cost Income Ra</w:t>
            </w:r>
            <w:r w:rsidR="009638F4" w:rsidRPr="00D52069">
              <w:rPr>
                <w:rFonts w:ascii="Calibri" w:eastAsia="Times New Roman" w:hAnsi="Calibri" w:cs="Calibri"/>
                <w:color w:val="000000"/>
                <w:sz w:val="24"/>
                <w:szCs w:val="24"/>
              </w:rPr>
              <w:t>t</w:t>
            </w:r>
            <w:r w:rsidRPr="00D52069">
              <w:rPr>
                <w:rFonts w:ascii="Calibri" w:eastAsia="Times New Roman" w:hAnsi="Calibri" w:cs="Calibri"/>
                <w:color w:val="000000"/>
                <w:sz w:val="24"/>
                <w:szCs w:val="24"/>
              </w:rPr>
              <w:t>io (%)</w:t>
            </w:r>
          </w:p>
        </w:tc>
        <w:tc>
          <w:tcPr>
            <w:tcW w:w="236" w:type="dxa"/>
            <w:tcBorders>
              <w:top w:val="single" w:sz="4" w:space="0" w:color="auto"/>
              <w:left w:val="nil"/>
              <w:bottom w:val="nil"/>
              <w:right w:val="single" w:sz="4" w:space="0" w:color="auto"/>
            </w:tcBorders>
            <w:shd w:val="clear" w:color="auto" w:fill="auto"/>
            <w:noWrap/>
            <w:vAlign w:val="bottom"/>
            <w:hideMark/>
          </w:tcPr>
          <w:p w:rsidR="00C82896" w:rsidRPr="00D52069" w:rsidRDefault="00C82896" w:rsidP="00C82896">
            <w:pPr>
              <w:spacing w:after="0" w:line="240" w:lineRule="auto"/>
              <w:jc w:val="right"/>
              <w:rPr>
                <w:rFonts w:ascii="Calibri" w:eastAsia="Times New Roman" w:hAnsi="Calibri" w:cs="Calibri"/>
                <w:b/>
                <w:bCs/>
                <w:color w:val="000000"/>
                <w:sz w:val="24"/>
                <w:szCs w:val="24"/>
              </w:rPr>
            </w:pPr>
          </w:p>
        </w:tc>
        <w:tc>
          <w:tcPr>
            <w:tcW w:w="830" w:type="dxa"/>
            <w:tcBorders>
              <w:top w:val="single" w:sz="4" w:space="0" w:color="auto"/>
              <w:left w:val="single" w:sz="4" w:space="0" w:color="auto"/>
              <w:bottom w:val="nil"/>
              <w:right w:val="nil"/>
            </w:tcBorders>
            <w:shd w:val="clear" w:color="auto" w:fill="auto"/>
            <w:vAlign w:val="bottom"/>
          </w:tcPr>
          <w:p w:rsidR="00C82896" w:rsidRPr="00D52069" w:rsidRDefault="00C82896" w:rsidP="00C82896">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55.93</w:t>
            </w:r>
          </w:p>
        </w:tc>
        <w:tc>
          <w:tcPr>
            <w:tcW w:w="236" w:type="dxa"/>
            <w:tcBorders>
              <w:top w:val="single" w:sz="4" w:space="0" w:color="auto"/>
              <w:left w:val="nil"/>
              <w:bottom w:val="nil"/>
              <w:right w:val="single" w:sz="4" w:space="0" w:color="auto"/>
            </w:tcBorders>
            <w:shd w:val="clear" w:color="auto" w:fill="auto"/>
            <w:noWrap/>
            <w:vAlign w:val="bottom"/>
            <w:hideMark/>
          </w:tcPr>
          <w:p w:rsidR="00C82896" w:rsidRPr="00D52069" w:rsidRDefault="00C82896" w:rsidP="00C82896">
            <w:pPr>
              <w:spacing w:after="0" w:line="240" w:lineRule="auto"/>
              <w:jc w:val="right"/>
              <w:rPr>
                <w:rFonts w:ascii="Calibri" w:eastAsia="Times New Roman" w:hAnsi="Calibri" w:cs="Calibri"/>
                <w:b/>
                <w:bCs/>
                <w:color w:val="000000"/>
                <w:sz w:val="24"/>
                <w:szCs w:val="24"/>
              </w:rPr>
            </w:pPr>
          </w:p>
        </w:tc>
        <w:tc>
          <w:tcPr>
            <w:tcW w:w="860" w:type="dxa"/>
            <w:tcBorders>
              <w:top w:val="single" w:sz="4" w:space="0" w:color="auto"/>
              <w:left w:val="single" w:sz="4" w:space="0" w:color="auto"/>
              <w:bottom w:val="nil"/>
              <w:right w:val="nil"/>
            </w:tcBorders>
            <w:shd w:val="clear" w:color="auto" w:fill="auto"/>
            <w:vAlign w:val="bottom"/>
          </w:tcPr>
          <w:p w:rsidR="00C82896" w:rsidRPr="00D52069" w:rsidRDefault="00C82896" w:rsidP="00C82896">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55.98</w:t>
            </w:r>
          </w:p>
        </w:tc>
        <w:tc>
          <w:tcPr>
            <w:tcW w:w="236" w:type="dxa"/>
            <w:tcBorders>
              <w:top w:val="single" w:sz="4" w:space="0" w:color="auto"/>
              <w:left w:val="nil"/>
              <w:bottom w:val="nil"/>
              <w:right w:val="single" w:sz="4" w:space="0" w:color="auto"/>
            </w:tcBorders>
            <w:shd w:val="clear" w:color="auto" w:fill="auto"/>
            <w:noWrap/>
            <w:vAlign w:val="bottom"/>
            <w:hideMark/>
          </w:tcPr>
          <w:p w:rsidR="00C82896" w:rsidRPr="00D52069" w:rsidRDefault="00C82896" w:rsidP="00C82896">
            <w:pPr>
              <w:spacing w:after="0" w:line="240" w:lineRule="auto"/>
              <w:jc w:val="right"/>
              <w:rPr>
                <w:rFonts w:ascii="Calibri" w:eastAsia="Times New Roman" w:hAnsi="Calibri" w:cs="Calibri"/>
                <w:b/>
                <w:bCs/>
                <w:color w:val="000000"/>
                <w:sz w:val="24"/>
                <w:szCs w:val="24"/>
              </w:rPr>
            </w:pPr>
          </w:p>
        </w:tc>
        <w:tc>
          <w:tcPr>
            <w:tcW w:w="822" w:type="dxa"/>
            <w:tcBorders>
              <w:top w:val="single" w:sz="4" w:space="0" w:color="auto"/>
              <w:left w:val="single" w:sz="4" w:space="0" w:color="auto"/>
              <w:bottom w:val="nil"/>
              <w:right w:val="nil"/>
            </w:tcBorders>
            <w:shd w:val="clear" w:color="auto" w:fill="auto"/>
            <w:vAlign w:val="bottom"/>
          </w:tcPr>
          <w:p w:rsidR="00C82896" w:rsidRPr="00D52069" w:rsidRDefault="00C82896" w:rsidP="00C82896">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52.11</w:t>
            </w:r>
          </w:p>
        </w:tc>
        <w:tc>
          <w:tcPr>
            <w:tcW w:w="236" w:type="dxa"/>
            <w:tcBorders>
              <w:top w:val="single" w:sz="4" w:space="0" w:color="auto"/>
              <w:left w:val="nil"/>
              <w:bottom w:val="nil"/>
              <w:right w:val="single" w:sz="4" w:space="0" w:color="auto"/>
            </w:tcBorders>
            <w:shd w:val="clear" w:color="auto" w:fill="auto"/>
            <w:noWrap/>
            <w:vAlign w:val="bottom"/>
            <w:hideMark/>
          </w:tcPr>
          <w:p w:rsidR="00C82896" w:rsidRPr="00D52069" w:rsidRDefault="00C82896" w:rsidP="00C82896">
            <w:pPr>
              <w:spacing w:after="0" w:line="240" w:lineRule="auto"/>
              <w:jc w:val="right"/>
              <w:rPr>
                <w:rFonts w:ascii="Calibri" w:eastAsia="Times New Roman" w:hAnsi="Calibri" w:cs="Calibri"/>
                <w:b/>
                <w:bCs/>
                <w:color w:val="000000"/>
                <w:sz w:val="24"/>
                <w:szCs w:val="24"/>
              </w:rPr>
            </w:pPr>
          </w:p>
        </w:tc>
        <w:tc>
          <w:tcPr>
            <w:tcW w:w="835" w:type="dxa"/>
            <w:tcBorders>
              <w:top w:val="single" w:sz="4" w:space="0" w:color="auto"/>
              <w:left w:val="single" w:sz="4" w:space="0" w:color="auto"/>
              <w:bottom w:val="nil"/>
              <w:right w:val="single" w:sz="4" w:space="0" w:color="auto"/>
            </w:tcBorders>
            <w:shd w:val="clear" w:color="auto" w:fill="auto"/>
            <w:vAlign w:val="bottom"/>
          </w:tcPr>
          <w:p w:rsidR="00C82896" w:rsidRPr="00D52069" w:rsidRDefault="00C82896" w:rsidP="00C82896">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51.08</w:t>
            </w:r>
          </w:p>
        </w:tc>
        <w:tc>
          <w:tcPr>
            <w:tcW w:w="960" w:type="dxa"/>
            <w:tcBorders>
              <w:top w:val="single" w:sz="4" w:space="0" w:color="auto"/>
              <w:left w:val="single" w:sz="4" w:space="0" w:color="auto"/>
              <w:bottom w:val="nil"/>
              <w:right w:val="nil"/>
            </w:tcBorders>
            <w:shd w:val="clear" w:color="auto" w:fill="auto"/>
            <w:noWrap/>
            <w:vAlign w:val="bottom"/>
            <w:hideMark/>
          </w:tcPr>
          <w:p w:rsidR="00C82896" w:rsidRPr="00D52069" w:rsidRDefault="00C82896" w:rsidP="00C82896">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48.29</w:t>
            </w:r>
          </w:p>
        </w:tc>
      </w:tr>
    </w:tbl>
    <w:p w:rsidR="00C82896" w:rsidRPr="00D52069" w:rsidRDefault="00C82896" w:rsidP="00CB4544">
      <w:pPr>
        <w:jc w:val="both"/>
        <w:rPr>
          <w:sz w:val="24"/>
          <w:szCs w:val="24"/>
        </w:rPr>
      </w:pPr>
      <w:r w:rsidRPr="00D52069">
        <w:rPr>
          <w:sz w:val="24"/>
          <w:szCs w:val="24"/>
        </w:rPr>
        <w:t xml:space="preserve">   </w:t>
      </w:r>
    </w:p>
    <w:p w:rsidR="00D71D8F" w:rsidRPr="00D52069" w:rsidRDefault="00D71D8F" w:rsidP="00CB4544">
      <w:pPr>
        <w:jc w:val="both"/>
        <w:rPr>
          <w:sz w:val="24"/>
          <w:szCs w:val="24"/>
        </w:rPr>
      </w:pPr>
      <w:r w:rsidRPr="00D52069">
        <w:rPr>
          <w:sz w:val="24"/>
          <w:szCs w:val="24"/>
        </w:rPr>
        <w:t>Cost income ratio shows expense in relative to its income. It is very important financial tool in bank evaluation. It is emerging measure of Bank’s efficiency.</w:t>
      </w:r>
    </w:p>
    <w:p w:rsidR="00D71D8F" w:rsidRPr="00D52069" w:rsidRDefault="00D71D8F" w:rsidP="00CB4544">
      <w:pPr>
        <w:jc w:val="both"/>
        <w:rPr>
          <w:sz w:val="24"/>
          <w:szCs w:val="24"/>
        </w:rPr>
      </w:pPr>
      <w:r w:rsidRPr="00D52069">
        <w:rPr>
          <w:sz w:val="24"/>
          <w:szCs w:val="24"/>
        </w:rPr>
        <w:t>Cost Income Ratio= Operating expense/Operating Income</w:t>
      </w:r>
    </w:p>
    <w:p w:rsidR="00471D59" w:rsidRPr="00D52069" w:rsidRDefault="00D71D8F" w:rsidP="00CB4544">
      <w:pPr>
        <w:jc w:val="both"/>
        <w:rPr>
          <w:sz w:val="24"/>
          <w:szCs w:val="24"/>
        </w:rPr>
      </w:pPr>
      <w:r w:rsidRPr="00D52069">
        <w:rPr>
          <w:sz w:val="24"/>
          <w:szCs w:val="24"/>
        </w:rPr>
        <w:t>Cost Income Ratio of Prime Bank increased from 48.29% to 55.98% during the year 2014 to 2017. PBL was struggling to manage its costs and faced overspending to generate revenue. In 2018 there was a very slight decrease in cost income ratio and it fell to 55.93 % from 55.98 %. Costs were rising at a higher rate than income. PBL needs to be more efficient in managin</w:t>
      </w:r>
      <w:r w:rsidR="00427135" w:rsidRPr="00D52069">
        <w:rPr>
          <w:sz w:val="24"/>
          <w:szCs w:val="24"/>
        </w:rPr>
        <w:t>g costs and should not overspend.</w:t>
      </w:r>
      <w:r w:rsidRPr="00D52069">
        <w:rPr>
          <w:sz w:val="24"/>
          <w:szCs w:val="24"/>
        </w:rPr>
        <w:t xml:space="preserve"> </w:t>
      </w:r>
    </w:p>
    <w:p w:rsidR="00C82896" w:rsidRPr="00D52069" w:rsidRDefault="00C82896" w:rsidP="00CB4544">
      <w:pPr>
        <w:jc w:val="both"/>
        <w:rPr>
          <w:sz w:val="24"/>
          <w:szCs w:val="24"/>
        </w:rPr>
      </w:pPr>
    </w:p>
    <w:p w:rsidR="00C82896" w:rsidRPr="00D52069" w:rsidRDefault="00C82896" w:rsidP="00CB4544">
      <w:pPr>
        <w:jc w:val="both"/>
        <w:rPr>
          <w:sz w:val="24"/>
          <w:szCs w:val="24"/>
        </w:rPr>
      </w:pPr>
    </w:p>
    <w:p w:rsidR="00C82896" w:rsidRPr="00D52069" w:rsidRDefault="00C82896" w:rsidP="00974297">
      <w:pPr>
        <w:rPr>
          <w:sz w:val="24"/>
          <w:szCs w:val="24"/>
        </w:rPr>
      </w:pPr>
    </w:p>
    <w:p w:rsidR="00C82896" w:rsidRPr="00D52069" w:rsidRDefault="00C82896" w:rsidP="00974297">
      <w:pPr>
        <w:rPr>
          <w:sz w:val="24"/>
          <w:szCs w:val="24"/>
        </w:rPr>
      </w:pPr>
    </w:p>
    <w:p w:rsidR="004B3FCE" w:rsidRDefault="004B3FCE" w:rsidP="00974297">
      <w:pPr>
        <w:rPr>
          <w:sz w:val="24"/>
          <w:szCs w:val="24"/>
        </w:rPr>
      </w:pPr>
    </w:p>
    <w:p w:rsidR="009638F4" w:rsidRPr="00D7681D" w:rsidRDefault="004B3FCE" w:rsidP="00CB4544">
      <w:pPr>
        <w:jc w:val="both"/>
        <w:rPr>
          <w:b/>
          <w:sz w:val="32"/>
          <w:szCs w:val="32"/>
          <w:u w:val="single"/>
        </w:rPr>
      </w:pPr>
      <w:r>
        <w:rPr>
          <w:b/>
          <w:sz w:val="32"/>
          <w:szCs w:val="32"/>
          <w:u w:val="single"/>
        </w:rPr>
        <w:lastRenderedPageBreak/>
        <w:t>3</w:t>
      </w:r>
      <w:r w:rsidR="00127653">
        <w:rPr>
          <w:b/>
          <w:sz w:val="32"/>
          <w:szCs w:val="32"/>
          <w:u w:val="single"/>
        </w:rPr>
        <w:t xml:space="preserve">.5 </w:t>
      </w:r>
      <w:r w:rsidR="00151ABF" w:rsidRPr="00D7681D">
        <w:rPr>
          <w:b/>
          <w:sz w:val="32"/>
          <w:szCs w:val="32"/>
          <w:u w:val="single"/>
        </w:rPr>
        <w:t>Market Value Ratios</w:t>
      </w:r>
      <w:r w:rsidR="00D7681D">
        <w:rPr>
          <w:b/>
          <w:sz w:val="32"/>
          <w:szCs w:val="32"/>
          <w:u w:val="single"/>
        </w:rPr>
        <w:t xml:space="preserve"> </w:t>
      </w:r>
      <w:r w:rsidR="009638F4" w:rsidRPr="00D52069">
        <w:rPr>
          <w:sz w:val="24"/>
          <w:szCs w:val="24"/>
        </w:rPr>
        <w:t>Market Value ratios help us to underst</w:t>
      </w:r>
      <w:r w:rsidR="007B5CB3" w:rsidRPr="00D52069">
        <w:rPr>
          <w:sz w:val="24"/>
          <w:szCs w:val="24"/>
        </w:rPr>
        <w:t>and the current value of stocks. It helps investor to study the price of stocks and whether they are correctly valued in the market or not. There are two categories in value of shares, they are overvaluation and undervaluation. If a share is overpriced there is chance that the price will fall in the future and if a share is underpriced there is a chance that price will rise in future. The different types of market ratios are discussed below.</w:t>
      </w:r>
    </w:p>
    <w:p w:rsidR="007B5CB3" w:rsidRPr="00D52069" w:rsidRDefault="00127653" w:rsidP="00127653">
      <w:pPr>
        <w:rPr>
          <w:b/>
          <w:sz w:val="24"/>
          <w:szCs w:val="24"/>
        </w:rPr>
      </w:pPr>
      <w:r>
        <w:rPr>
          <w:b/>
          <w:sz w:val="24"/>
          <w:szCs w:val="24"/>
        </w:rPr>
        <w:t>(</w:t>
      </w:r>
      <w:proofErr w:type="spellStart"/>
      <w:r>
        <w:rPr>
          <w:b/>
          <w:sz w:val="24"/>
          <w:szCs w:val="24"/>
        </w:rPr>
        <w:t>i</w:t>
      </w:r>
      <w:proofErr w:type="spellEnd"/>
      <w:r>
        <w:rPr>
          <w:b/>
          <w:sz w:val="24"/>
          <w:szCs w:val="24"/>
        </w:rPr>
        <w:t xml:space="preserve">) </w:t>
      </w:r>
      <w:r w:rsidR="00151ABF" w:rsidRPr="00D52069">
        <w:rPr>
          <w:b/>
          <w:sz w:val="24"/>
          <w:szCs w:val="24"/>
        </w:rPr>
        <w:t>Price Earnings Ratio</w:t>
      </w:r>
      <w:r w:rsidR="00665679" w:rsidRPr="00D52069">
        <w:rPr>
          <w:b/>
          <w:sz w:val="24"/>
          <w:szCs w:val="24"/>
        </w:rPr>
        <w:t xml:space="preserve"> (P/E)</w:t>
      </w:r>
    </w:p>
    <w:p w:rsidR="00151ABF" w:rsidRPr="00D52069" w:rsidRDefault="00C37A99" w:rsidP="00151ABF">
      <w:pPr>
        <w:jc w:val="center"/>
        <w:rPr>
          <w:b/>
          <w:sz w:val="24"/>
          <w:szCs w:val="24"/>
        </w:rPr>
      </w:pPr>
      <w:r w:rsidRPr="00D52069">
        <w:rPr>
          <w:b/>
          <w:noProof/>
          <w:sz w:val="24"/>
          <w:szCs w:val="24"/>
        </w:rPr>
        <w:drawing>
          <wp:inline distT="0" distB="0" distL="0" distR="0">
            <wp:extent cx="5491866" cy="2369488"/>
            <wp:effectExtent l="19050" t="0" r="13584"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bl>
      <w:tblPr>
        <w:tblW w:w="8813" w:type="dxa"/>
        <w:tblInd w:w="95" w:type="dxa"/>
        <w:tblLook w:val="04A0" w:firstRow="1" w:lastRow="0" w:firstColumn="1" w:lastColumn="0" w:noHBand="0" w:noVBand="1"/>
      </w:tblPr>
      <w:tblGrid>
        <w:gridCol w:w="3700"/>
        <w:gridCol w:w="236"/>
        <w:gridCol w:w="827"/>
        <w:gridCol w:w="263"/>
        <w:gridCol w:w="703"/>
        <w:gridCol w:w="236"/>
        <w:gridCol w:w="796"/>
        <w:gridCol w:w="236"/>
        <w:gridCol w:w="784"/>
        <w:gridCol w:w="236"/>
        <w:gridCol w:w="796"/>
      </w:tblGrid>
      <w:tr w:rsidR="00C37A99" w:rsidRPr="00D52069" w:rsidTr="00C37A99">
        <w:trPr>
          <w:trHeight w:val="288"/>
        </w:trPr>
        <w:tc>
          <w:tcPr>
            <w:tcW w:w="3700" w:type="dxa"/>
            <w:tcBorders>
              <w:top w:val="nil"/>
              <w:left w:val="nil"/>
              <w:bottom w:val="single" w:sz="4" w:space="0" w:color="auto"/>
              <w:right w:val="nil"/>
            </w:tcBorders>
            <w:shd w:val="clear" w:color="auto" w:fill="auto"/>
            <w:noWrap/>
            <w:vAlign w:val="bottom"/>
            <w:hideMark/>
          </w:tcPr>
          <w:p w:rsidR="00C37A99" w:rsidRPr="00D52069" w:rsidRDefault="00C37A99" w:rsidP="00C37A99">
            <w:pPr>
              <w:spacing w:after="0" w:line="240" w:lineRule="auto"/>
              <w:rPr>
                <w:rFonts w:ascii="Calibri" w:eastAsia="Times New Roman" w:hAnsi="Calibri" w:cs="Calibri"/>
                <w:color w:val="000000"/>
                <w:sz w:val="24"/>
                <w:szCs w:val="24"/>
              </w:rPr>
            </w:pPr>
          </w:p>
        </w:tc>
        <w:tc>
          <w:tcPr>
            <w:tcW w:w="236" w:type="dxa"/>
            <w:tcBorders>
              <w:top w:val="nil"/>
              <w:left w:val="nil"/>
              <w:bottom w:val="single" w:sz="4" w:space="0" w:color="auto"/>
              <w:right w:val="single" w:sz="4" w:space="0" w:color="auto"/>
            </w:tcBorders>
            <w:shd w:val="clear" w:color="auto" w:fill="auto"/>
            <w:noWrap/>
            <w:vAlign w:val="bottom"/>
            <w:hideMark/>
          </w:tcPr>
          <w:p w:rsidR="00C37A99" w:rsidRPr="00D52069" w:rsidRDefault="00C37A99" w:rsidP="00C37A99">
            <w:pPr>
              <w:spacing w:after="0" w:line="240" w:lineRule="auto"/>
              <w:jc w:val="right"/>
              <w:rPr>
                <w:rFonts w:ascii="Calibri" w:eastAsia="Times New Roman" w:hAnsi="Calibri" w:cs="Calibri"/>
                <w:b/>
                <w:bCs/>
                <w:color w:val="000000"/>
                <w:sz w:val="24"/>
                <w:szCs w:val="24"/>
              </w:rPr>
            </w:pPr>
          </w:p>
        </w:tc>
        <w:tc>
          <w:tcPr>
            <w:tcW w:w="830" w:type="dxa"/>
            <w:tcBorders>
              <w:top w:val="nil"/>
              <w:left w:val="single" w:sz="4" w:space="0" w:color="auto"/>
              <w:bottom w:val="single" w:sz="4" w:space="0" w:color="auto"/>
              <w:right w:val="nil"/>
            </w:tcBorders>
            <w:shd w:val="clear" w:color="auto" w:fill="auto"/>
            <w:vAlign w:val="bottom"/>
          </w:tcPr>
          <w:p w:rsidR="00C37A99" w:rsidRPr="00D52069" w:rsidRDefault="00C37A99" w:rsidP="00C37A99">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2018</w:t>
            </w:r>
          </w:p>
        </w:tc>
        <w:tc>
          <w:tcPr>
            <w:tcW w:w="263" w:type="dxa"/>
            <w:tcBorders>
              <w:top w:val="nil"/>
              <w:left w:val="nil"/>
              <w:bottom w:val="single" w:sz="4" w:space="0" w:color="auto"/>
              <w:right w:val="single" w:sz="4" w:space="0" w:color="auto"/>
            </w:tcBorders>
            <w:shd w:val="clear" w:color="auto" w:fill="auto"/>
            <w:noWrap/>
            <w:vAlign w:val="bottom"/>
            <w:hideMark/>
          </w:tcPr>
          <w:p w:rsidR="00C37A99" w:rsidRPr="00D52069" w:rsidRDefault="00C37A99" w:rsidP="00C37A99">
            <w:pPr>
              <w:spacing w:after="0" w:line="240" w:lineRule="auto"/>
              <w:jc w:val="right"/>
              <w:rPr>
                <w:rFonts w:ascii="Calibri" w:eastAsia="Times New Roman" w:hAnsi="Calibri" w:cs="Calibri"/>
                <w:b/>
                <w:bCs/>
                <w:color w:val="000000"/>
                <w:sz w:val="24"/>
                <w:szCs w:val="24"/>
              </w:rPr>
            </w:pPr>
          </w:p>
        </w:tc>
        <w:tc>
          <w:tcPr>
            <w:tcW w:w="697" w:type="dxa"/>
            <w:tcBorders>
              <w:top w:val="nil"/>
              <w:left w:val="single" w:sz="4" w:space="0" w:color="auto"/>
              <w:bottom w:val="single" w:sz="4" w:space="0" w:color="auto"/>
              <w:right w:val="nil"/>
            </w:tcBorders>
            <w:shd w:val="clear" w:color="auto" w:fill="auto"/>
            <w:vAlign w:val="bottom"/>
          </w:tcPr>
          <w:p w:rsidR="00C37A99" w:rsidRPr="00D52069" w:rsidRDefault="00C37A99" w:rsidP="00C37A99">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2017</w:t>
            </w:r>
          </w:p>
        </w:tc>
        <w:tc>
          <w:tcPr>
            <w:tcW w:w="236" w:type="dxa"/>
            <w:tcBorders>
              <w:top w:val="nil"/>
              <w:left w:val="nil"/>
              <w:bottom w:val="single" w:sz="4" w:space="0" w:color="auto"/>
              <w:right w:val="single" w:sz="4" w:space="0" w:color="auto"/>
            </w:tcBorders>
            <w:shd w:val="clear" w:color="auto" w:fill="auto"/>
            <w:noWrap/>
            <w:vAlign w:val="bottom"/>
            <w:hideMark/>
          </w:tcPr>
          <w:p w:rsidR="00C37A99" w:rsidRPr="00D52069" w:rsidRDefault="00C37A99" w:rsidP="00C37A99">
            <w:pPr>
              <w:spacing w:after="0" w:line="240" w:lineRule="auto"/>
              <w:jc w:val="right"/>
              <w:rPr>
                <w:rFonts w:ascii="Calibri" w:eastAsia="Times New Roman" w:hAnsi="Calibri" w:cs="Calibri"/>
                <w:b/>
                <w:bCs/>
                <w:color w:val="000000"/>
                <w:sz w:val="24"/>
                <w:szCs w:val="24"/>
              </w:rPr>
            </w:pPr>
          </w:p>
        </w:tc>
        <w:tc>
          <w:tcPr>
            <w:tcW w:w="797" w:type="dxa"/>
            <w:tcBorders>
              <w:top w:val="nil"/>
              <w:left w:val="single" w:sz="4" w:space="0" w:color="auto"/>
              <w:bottom w:val="single" w:sz="4" w:space="0" w:color="auto"/>
              <w:right w:val="nil"/>
            </w:tcBorders>
            <w:shd w:val="clear" w:color="auto" w:fill="auto"/>
            <w:vAlign w:val="bottom"/>
          </w:tcPr>
          <w:p w:rsidR="00C37A99" w:rsidRPr="00D52069" w:rsidRDefault="00C37A99" w:rsidP="00C37A99">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2016</w:t>
            </w:r>
          </w:p>
        </w:tc>
        <w:tc>
          <w:tcPr>
            <w:tcW w:w="236" w:type="dxa"/>
            <w:tcBorders>
              <w:top w:val="nil"/>
              <w:left w:val="nil"/>
              <w:bottom w:val="single" w:sz="4" w:space="0" w:color="auto"/>
              <w:right w:val="single" w:sz="4" w:space="0" w:color="auto"/>
            </w:tcBorders>
            <w:shd w:val="clear" w:color="auto" w:fill="auto"/>
            <w:noWrap/>
            <w:vAlign w:val="bottom"/>
            <w:hideMark/>
          </w:tcPr>
          <w:p w:rsidR="00C37A99" w:rsidRPr="00D52069" w:rsidRDefault="00C37A99" w:rsidP="00C37A99">
            <w:pPr>
              <w:spacing w:after="0" w:line="240" w:lineRule="auto"/>
              <w:jc w:val="right"/>
              <w:rPr>
                <w:rFonts w:ascii="Calibri" w:eastAsia="Times New Roman" w:hAnsi="Calibri" w:cs="Calibri"/>
                <w:b/>
                <w:bCs/>
                <w:color w:val="000000"/>
                <w:sz w:val="24"/>
                <w:szCs w:val="24"/>
              </w:rPr>
            </w:pPr>
          </w:p>
        </w:tc>
        <w:tc>
          <w:tcPr>
            <w:tcW w:w="785" w:type="dxa"/>
            <w:tcBorders>
              <w:top w:val="nil"/>
              <w:left w:val="single" w:sz="4" w:space="0" w:color="auto"/>
              <w:bottom w:val="single" w:sz="4" w:space="0" w:color="auto"/>
              <w:right w:val="nil"/>
            </w:tcBorders>
            <w:shd w:val="clear" w:color="auto" w:fill="auto"/>
            <w:vAlign w:val="bottom"/>
          </w:tcPr>
          <w:p w:rsidR="00C37A99" w:rsidRPr="00D52069" w:rsidRDefault="00C37A99" w:rsidP="00C37A99">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2015</w:t>
            </w:r>
          </w:p>
        </w:tc>
        <w:tc>
          <w:tcPr>
            <w:tcW w:w="236" w:type="dxa"/>
            <w:tcBorders>
              <w:top w:val="nil"/>
              <w:left w:val="nil"/>
              <w:bottom w:val="single" w:sz="4" w:space="0" w:color="auto"/>
              <w:right w:val="single" w:sz="4" w:space="0" w:color="auto"/>
            </w:tcBorders>
            <w:shd w:val="clear" w:color="auto" w:fill="auto"/>
            <w:noWrap/>
            <w:vAlign w:val="bottom"/>
            <w:hideMark/>
          </w:tcPr>
          <w:p w:rsidR="00C37A99" w:rsidRPr="00D52069" w:rsidRDefault="00C37A99" w:rsidP="00C37A99">
            <w:pPr>
              <w:spacing w:after="0" w:line="240" w:lineRule="auto"/>
              <w:jc w:val="right"/>
              <w:rPr>
                <w:rFonts w:ascii="Calibri" w:eastAsia="Times New Roman" w:hAnsi="Calibri" w:cs="Calibri"/>
                <w:b/>
                <w:bCs/>
                <w:color w:val="000000"/>
                <w:sz w:val="24"/>
                <w:szCs w:val="24"/>
              </w:rPr>
            </w:pPr>
          </w:p>
        </w:tc>
        <w:tc>
          <w:tcPr>
            <w:tcW w:w="797" w:type="dxa"/>
            <w:tcBorders>
              <w:top w:val="nil"/>
              <w:left w:val="single" w:sz="4" w:space="0" w:color="auto"/>
              <w:bottom w:val="single" w:sz="4" w:space="0" w:color="auto"/>
              <w:right w:val="nil"/>
            </w:tcBorders>
            <w:shd w:val="clear" w:color="auto" w:fill="auto"/>
            <w:vAlign w:val="bottom"/>
          </w:tcPr>
          <w:p w:rsidR="00C37A99" w:rsidRPr="00D52069" w:rsidRDefault="00C37A99" w:rsidP="00C37A99">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2014</w:t>
            </w:r>
          </w:p>
        </w:tc>
      </w:tr>
      <w:tr w:rsidR="00C37A99" w:rsidRPr="00D52069" w:rsidTr="00C37A99">
        <w:trPr>
          <w:trHeight w:val="288"/>
        </w:trPr>
        <w:tc>
          <w:tcPr>
            <w:tcW w:w="3700" w:type="dxa"/>
            <w:tcBorders>
              <w:top w:val="single" w:sz="4" w:space="0" w:color="auto"/>
              <w:left w:val="nil"/>
              <w:bottom w:val="nil"/>
              <w:right w:val="nil"/>
            </w:tcBorders>
            <w:shd w:val="clear" w:color="auto" w:fill="auto"/>
            <w:noWrap/>
            <w:vAlign w:val="bottom"/>
            <w:hideMark/>
          </w:tcPr>
          <w:p w:rsidR="00C37A99" w:rsidRPr="00D52069" w:rsidRDefault="00C37A99" w:rsidP="00C37A99">
            <w:pPr>
              <w:spacing w:after="0" w:line="240" w:lineRule="auto"/>
              <w:rPr>
                <w:rFonts w:ascii="Calibri" w:eastAsia="Times New Roman" w:hAnsi="Calibri" w:cs="Calibri"/>
                <w:color w:val="000000"/>
                <w:sz w:val="24"/>
                <w:szCs w:val="24"/>
              </w:rPr>
            </w:pPr>
            <w:r w:rsidRPr="00D52069">
              <w:rPr>
                <w:rFonts w:ascii="Calibri" w:eastAsia="Times New Roman" w:hAnsi="Calibri" w:cs="Calibri"/>
                <w:color w:val="000000"/>
                <w:sz w:val="24"/>
                <w:szCs w:val="24"/>
              </w:rPr>
              <w:t>Price Earnings Ratio  (Times)</w:t>
            </w:r>
          </w:p>
        </w:tc>
        <w:tc>
          <w:tcPr>
            <w:tcW w:w="236" w:type="dxa"/>
            <w:tcBorders>
              <w:top w:val="single" w:sz="4" w:space="0" w:color="auto"/>
              <w:left w:val="nil"/>
              <w:bottom w:val="nil"/>
              <w:right w:val="single" w:sz="4" w:space="0" w:color="auto"/>
            </w:tcBorders>
            <w:shd w:val="clear" w:color="auto" w:fill="auto"/>
            <w:noWrap/>
            <w:vAlign w:val="bottom"/>
            <w:hideMark/>
          </w:tcPr>
          <w:p w:rsidR="00C37A99" w:rsidRPr="00D52069" w:rsidRDefault="00C37A99" w:rsidP="00C37A99">
            <w:pPr>
              <w:spacing w:after="0" w:line="240" w:lineRule="auto"/>
              <w:jc w:val="right"/>
              <w:rPr>
                <w:rFonts w:ascii="Calibri" w:eastAsia="Times New Roman" w:hAnsi="Calibri" w:cs="Calibri"/>
                <w:b/>
                <w:bCs/>
                <w:color w:val="000000"/>
                <w:sz w:val="24"/>
                <w:szCs w:val="24"/>
              </w:rPr>
            </w:pPr>
          </w:p>
        </w:tc>
        <w:tc>
          <w:tcPr>
            <w:tcW w:w="830" w:type="dxa"/>
            <w:tcBorders>
              <w:top w:val="single" w:sz="4" w:space="0" w:color="auto"/>
              <w:left w:val="single" w:sz="4" w:space="0" w:color="auto"/>
              <w:bottom w:val="nil"/>
              <w:right w:val="nil"/>
            </w:tcBorders>
            <w:shd w:val="clear" w:color="auto" w:fill="auto"/>
            <w:vAlign w:val="bottom"/>
          </w:tcPr>
          <w:p w:rsidR="00C37A99" w:rsidRPr="00D52069" w:rsidRDefault="00C37A99" w:rsidP="00C37A99">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9.21</w:t>
            </w:r>
          </w:p>
        </w:tc>
        <w:tc>
          <w:tcPr>
            <w:tcW w:w="263" w:type="dxa"/>
            <w:tcBorders>
              <w:top w:val="single" w:sz="4" w:space="0" w:color="auto"/>
              <w:left w:val="nil"/>
              <w:bottom w:val="nil"/>
              <w:right w:val="single" w:sz="4" w:space="0" w:color="auto"/>
            </w:tcBorders>
            <w:shd w:val="clear" w:color="auto" w:fill="auto"/>
            <w:noWrap/>
            <w:vAlign w:val="bottom"/>
            <w:hideMark/>
          </w:tcPr>
          <w:p w:rsidR="00C37A99" w:rsidRPr="00D52069" w:rsidRDefault="00C37A99" w:rsidP="00C37A99">
            <w:pPr>
              <w:spacing w:after="0" w:line="240" w:lineRule="auto"/>
              <w:jc w:val="right"/>
              <w:rPr>
                <w:rFonts w:ascii="Calibri" w:eastAsia="Times New Roman" w:hAnsi="Calibri" w:cs="Calibri"/>
                <w:b/>
                <w:bCs/>
                <w:color w:val="000000"/>
                <w:sz w:val="24"/>
                <w:szCs w:val="24"/>
              </w:rPr>
            </w:pPr>
          </w:p>
        </w:tc>
        <w:tc>
          <w:tcPr>
            <w:tcW w:w="697" w:type="dxa"/>
            <w:tcBorders>
              <w:top w:val="single" w:sz="4" w:space="0" w:color="auto"/>
              <w:left w:val="single" w:sz="4" w:space="0" w:color="auto"/>
              <w:bottom w:val="nil"/>
              <w:right w:val="nil"/>
            </w:tcBorders>
            <w:shd w:val="clear" w:color="auto" w:fill="auto"/>
            <w:vAlign w:val="bottom"/>
          </w:tcPr>
          <w:p w:rsidR="00C37A99" w:rsidRPr="00D52069" w:rsidRDefault="00C37A99" w:rsidP="00C37A99">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29.3</w:t>
            </w:r>
          </w:p>
        </w:tc>
        <w:tc>
          <w:tcPr>
            <w:tcW w:w="236" w:type="dxa"/>
            <w:tcBorders>
              <w:top w:val="single" w:sz="4" w:space="0" w:color="auto"/>
              <w:left w:val="nil"/>
              <w:bottom w:val="nil"/>
              <w:right w:val="single" w:sz="4" w:space="0" w:color="auto"/>
            </w:tcBorders>
            <w:shd w:val="clear" w:color="auto" w:fill="auto"/>
            <w:noWrap/>
            <w:vAlign w:val="bottom"/>
            <w:hideMark/>
          </w:tcPr>
          <w:p w:rsidR="00C37A99" w:rsidRPr="00D52069" w:rsidRDefault="00C37A99" w:rsidP="00C37A99">
            <w:pPr>
              <w:spacing w:after="0" w:line="240" w:lineRule="auto"/>
              <w:jc w:val="right"/>
              <w:rPr>
                <w:rFonts w:ascii="Calibri" w:eastAsia="Times New Roman" w:hAnsi="Calibri" w:cs="Calibri"/>
                <w:b/>
                <w:bCs/>
                <w:color w:val="000000"/>
                <w:sz w:val="24"/>
                <w:szCs w:val="24"/>
              </w:rPr>
            </w:pPr>
          </w:p>
        </w:tc>
        <w:tc>
          <w:tcPr>
            <w:tcW w:w="797" w:type="dxa"/>
            <w:tcBorders>
              <w:top w:val="single" w:sz="4" w:space="0" w:color="auto"/>
              <w:left w:val="single" w:sz="4" w:space="0" w:color="auto"/>
              <w:bottom w:val="nil"/>
              <w:right w:val="nil"/>
            </w:tcBorders>
            <w:shd w:val="clear" w:color="auto" w:fill="auto"/>
            <w:vAlign w:val="bottom"/>
          </w:tcPr>
          <w:p w:rsidR="00C37A99" w:rsidRPr="00D52069" w:rsidRDefault="00C37A99" w:rsidP="00C37A99">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8.31</w:t>
            </w:r>
          </w:p>
        </w:tc>
        <w:tc>
          <w:tcPr>
            <w:tcW w:w="236" w:type="dxa"/>
            <w:tcBorders>
              <w:top w:val="single" w:sz="4" w:space="0" w:color="auto"/>
              <w:left w:val="nil"/>
              <w:bottom w:val="nil"/>
              <w:right w:val="single" w:sz="4" w:space="0" w:color="auto"/>
            </w:tcBorders>
            <w:shd w:val="clear" w:color="auto" w:fill="auto"/>
            <w:noWrap/>
            <w:vAlign w:val="bottom"/>
            <w:hideMark/>
          </w:tcPr>
          <w:p w:rsidR="00C37A99" w:rsidRPr="00D52069" w:rsidRDefault="00C37A99" w:rsidP="00C37A99">
            <w:pPr>
              <w:spacing w:after="0" w:line="240" w:lineRule="auto"/>
              <w:jc w:val="right"/>
              <w:rPr>
                <w:rFonts w:ascii="Calibri" w:eastAsia="Times New Roman" w:hAnsi="Calibri" w:cs="Calibri"/>
                <w:b/>
                <w:bCs/>
                <w:color w:val="000000"/>
                <w:sz w:val="24"/>
                <w:szCs w:val="24"/>
              </w:rPr>
            </w:pPr>
          </w:p>
        </w:tc>
        <w:tc>
          <w:tcPr>
            <w:tcW w:w="785" w:type="dxa"/>
            <w:tcBorders>
              <w:top w:val="single" w:sz="4" w:space="0" w:color="auto"/>
              <w:left w:val="single" w:sz="4" w:space="0" w:color="auto"/>
              <w:bottom w:val="nil"/>
              <w:right w:val="nil"/>
            </w:tcBorders>
            <w:shd w:val="clear" w:color="auto" w:fill="auto"/>
            <w:vAlign w:val="bottom"/>
          </w:tcPr>
          <w:p w:rsidR="00C37A99" w:rsidRPr="00D52069" w:rsidRDefault="00C37A99" w:rsidP="00C37A99">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8.71</w:t>
            </w:r>
          </w:p>
        </w:tc>
        <w:tc>
          <w:tcPr>
            <w:tcW w:w="236" w:type="dxa"/>
            <w:tcBorders>
              <w:top w:val="single" w:sz="4" w:space="0" w:color="auto"/>
              <w:left w:val="nil"/>
              <w:bottom w:val="nil"/>
              <w:right w:val="single" w:sz="4" w:space="0" w:color="auto"/>
            </w:tcBorders>
            <w:shd w:val="clear" w:color="auto" w:fill="auto"/>
            <w:noWrap/>
            <w:vAlign w:val="bottom"/>
            <w:hideMark/>
          </w:tcPr>
          <w:p w:rsidR="00C37A99" w:rsidRPr="00D52069" w:rsidRDefault="00C37A99" w:rsidP="00C37A99">
            <w:pPr>
              <w:spacing w:after="0" w:line="240" w:lineRule="auto"/>
              <w:jc w:val="right"/>
              <w:rPr>
                <w:rFonts w:ascii="Calibri" w:eastAsia="Times New Roman" w:hAnsi="Calibri" w:cs="Calibri"/>
                <w:b/>
                <w:bCs/>
                <w:color w:val="000000"/>
                <w:sz w:val="24"/>
                <w:szCs w:val="24"/>
              </w:rPr>
            </w:pPr>
          </w:p>
        </w:tc>
        <w:tc>
          <w:tcPr>
            <w:tcW w:w="797" w:type="dxa"/>
            <w:tcBorders>
              <w:top w:val="single" w:sz="4" w:space="0" w:color="auto"/>
              <w:left w:val="single" w:sz="4" w:space="0" w:color="auto"/>
              <w:bottom w:val="nil"/>
              <w:right w:val="nil"/>
            </w:tcBorders>
            <w:shd w:val="clear" w:color="auto" w:fill="auto"/>
            <w:vAlign w:val="bottom"/>
          </w:tcPr>
          <w:p w:rsidR="00C37A99" w:rsidRPr="00D52069" w:rsidRDefault="00C37A99" w:rsidP="00C37A99">
            <w:pPr>
              <w:spacing w:after="0" w:line="240" w:lineRule="auto"/>
              <w:jc w:val="right"/>
              <w:rPr>
                <w:rFonts w:ascii="Calibri" w:eastAsia="Times New Roman" w:hAnsi="Calibri" w:cs="Calibri"/>
                <w:b/>
                <w:bCs/>
                <w:color w:val="000000"/>
                <w:sz w:val="24"/>
                <w:szCs w:val="24"/>
              </w:rPr>
            </w:pPr>
            <w:r w:rsidRPr="00D52069">
              <w:rPr>
                <w:rFonts w:ascii="Calibri" w:eastAsia="Times New Roman" w:hAnsi="Calibri" w:cs="Calibri"/>
                <w:b/>
                <w:bCs/>
                <w:color w:val="000000"/>
                <w:sz w:val="24"/>
                <w:szCs w:val="24"/>
              </w:rPr>
              <w:t>8.43</w:t>
            </w:r>
          </w:p>
        </w:tc>
      </w:tr>
    </w:tbl>
    <w:p w:rsidR="00C37A99" w:rsidRPr="00D52069" w:rsidRDefault="00C37A99" w:rsidP="00C37A99">
      <w:pPr>
        <w:rPr>
          <w:b/>
          <w:sz w:val="24"/>
          <w:szCs w:val="24"/>
        </w:rPr>
      </w:pPr>
    </w:p>
    <w:p w:rsidR="00C37A99" w:rsidRPr="00D52069" w:rsidRDefault="00C37A99" w:rsidP="00C37A99">
      <w:pPr>
        <w:rPr>
          <w:sz w:val="24"/>
          <w:szCs w:val="24"/>
        </w:rPr>
      </w:pPr>
      <w:r w:rsidRPr="00D52069">
        <w:rPr>
          <w:sz w:val="24"/>
          <w:szCs w:val="24"/>
        </w:rPr>
        <w:t>P/E ratio helps the investors to study the market value of stock as compared to the company’s earnings. A high P/E ratio indicates that the stock price is high compared to earnings and can be overpriced. However it is not necessarily a better investment than one with a lower P/E ratio. A low P/E indicates that the stock price is undervalued.</w:t>
      </w:r>
      <w:r w:rsidR="001E2D4B" w:rsidRPr="00D52069">
        <w:rPr>
          <w:sz w:val="24"/>
          <w:szCs w:val="24"/>
        </w:rPr>
        <w:t xml:space="preserve"> </w:t>
      </w:r>
    </w:p>
    <w:p w:rsidR="001E2D4B" w:rsidRPr="00D52069" w:rsidRDefault="001E2D4B" w:rsidP="00C37A99">
      <w:pPr>
        <w:rPr>
          <w:sz w:val="24"/>
          <w:szCs w:val="24"/>
        </w:rPr>
      </w:pPr>
      <w:r w:rsidRPr="00D52069">
        <w:rPr>
          <w:sz w:val="24"/>
          <w:szCs w:val="24"/>
        </w:rPr>
        <w:t>P/E ratio= Market Value per share/ Earnings Per share</w:t>
      </w:r>
    </w:p>
    <w:p w:rsidR="00C37A99" w:rsidRDefault="001E2D4B" w:rsidP="00C37A99">
      <w:pPr>
        <w:rPr>
          <w:sz w:val="24"/>
          <w:szCs w:val="24"/>
        </w:rPr>
      </w:pPr>
      <w:proofErr w:type="gramStart"/>
      <w:r w:rsidRPr="00D52069">
        <w:rPr>
          <w:sz w:val="24"/>
          <w:szCs w:val="24"/>
        </w:rPr>
        <w:t>in</w:t>
      </w:r>
      <w:proofErr w:type="gramEnd"/>
      <w:r w:rsidRPr="00D52069">
        <w:rPr>
          <w:sz w:val="24"/>
          <w:szCs w:val="24"/>
        </w:rPr>
        <w:t xml:space="preserve"> 2018 P/E was 9.21. The highest t peak of P/E ratio for Prime Bank ltd was in the year 2017 which means investors we willing to pay a higher share price because of growth expectations in the future. From 2014 to 2016 P/E was stable around 8.5 %</w:t>
      </w:r>
    </w:p>
    <w:p w:rsidR="00BA4CF1" w:rsidRPr="00D52069" w:rsidRDefault="00BA4CF1" w:rsidP="00C37A99">
      <w:pPr>
        <w:rPr>
          <w:sz w:val="24"/>
          <w:szCs w:val="24"/>
        </w:rPr>
      </w:pPr>
    </w:p>
    <w:p w:rsidR="00F135D5" w:rsidRDefault="00F135D5" w:rsidP="00127653">
      <w:pPr>
        <w:rPr>
          <w:b/>
          <w:sz w:val="24"/>
          <w:szCs w:val="24"/>
        </w:rPr>
      </w:pPr>
    </w:p>
    <w:p w:rsidR="00F135D5" w:rsidRDefault="00F135D5" w:rsidP="00127653">
      <w:pPr>
        <w:rPr>
          <w:b/>
          <w:sz w:val="24"/>
          <w:szCs w:val="24"/>
        </w:rPr>
      </w:pPr>
    </w:p>
    <w:p w:rsidR="00151ABF" w:rsidRPr="00D52069" w:rsidRDefault="00127653" w:rsidP="00127653">
      <w:pPr>
        <w:rPr>
          <w:b/>
          <w:sz w:val="24"/>
          <w:szCs w:val="24"/>
        </w:rPr>
      </w:pPr>
      <w:proofErr w:type="gramStart"/>
      <w:r>
        <w:rPr>
          <w:b/>
          <w:sz w:val="24"/>
          <w:szCs w:val="24"/>
        </w:rPr>
        <w:lastRenderedPageBreak/>
        <w:t xml:space="preserve">(ii) </w:t>
      </w:r>
      <w:r w:rsidR="001E2D4B" w:rsidRPr="00D52069">
        <w:rPr>
          <w:b/>
          <w:sz w:val="24"/>
          <w:szCs w:val="24"/>
        </w:rPr>
        <w:t>Earnings Per Share Ratio</w:t>
      </w:r>
      <w:proofErr w:type="gramEnd"/>
    </w:p>
    <w:p w:rsidR="001E2D4B" w:rsidRPr="00D52069" w:rsidRDefault="001E2D4B" w:rsidP="001E2D4B">
      <w:pPr>
        <w:jc w:val="center"/>
        <w:rPr>
          <w:b/>
          <w:sz w:val="24"/>
          <w:szCs w:val="24"/>
        </w:rPr>
      </w:pPr>
      <w:r w:rsidRPr="00D52069">
        <w:rPr>
          <w:b/>
          <w:noProof/>
          <w:sz w:val="24"/>
          <w:szCs w:val="24"/>
        </w:rPr>
        <w:drawing>
          <wp:inline distT="0" distB="0" distL="0" distR="0">
            <wp:extent cx="5488056" cy="2759103"/>
            <wp:effectExtent l="19050" t="0" r="17394" b="3147"/>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bl>
      <w:tblPr>
        <w:tblW w:w="8812" w:type="dxa"/>
        <w:tblInd w:w="95" w:type="dxa"/>
        <w:tblLook w:val="04A0" w:firstRow="1" w:lastRow="0" w:firstColumn="1" w:lastColumn="0" w:noHBand="0" w:noVBand="1"/>
      </w:tblPr>
      <w:tblGrid>
        <w:gridCol w:w="3700"/>
        <w:gridCol w:w="236"/>
        <w:gridCol w:w="761"/>
        <w:gridCol w:w="288"/>
        <w:gridCol w:w="703"/>
        <w:gridCol w:w="236"/>
        <w:gridCol w:w="790"/>
        <w:gridCol w:w="236"/>
        <w:gridCol w:w="790"/>
        <w:gridCol w:w="236"/>
        <w:gridCol w:w="836"/>
      </w:tblGrid>
      <w:tr w:rsidR="00964D6B" w:rsidRPr="00D52069" w:rsidTr="00964D6B">
        <w:trPr>
          <w:trHeight w:val="288"/>
        </w:trPr>
        <w:tc>
          <w:tcPr>
            <w:tcW w:w="3700" w:type="dxa"/>
            <w:tcBorders>
              <w:top w:val="nil"/>
              <w:left w:val="nil"/>
              <w:bottom w:val="single" w:sz="4" w:space="0" w:color="auto"/>
              <w:right w:val="nil"/>
            </w:tcBorders>
            <w:shd w:val="clear" w:color="auto" w:fill="auto"/>
            <w:noWrap/>
            <w:vAlign w:val="bottom"/>
            <w:hideMark/>
          </w:tcPr>
          <w:p w:rsidR="00964D6B" w:rsidRPr="00964D6B" w:rsidRDefault="00964D6B" w:rsidP="00964D6B">
            <w:pPr>
              <w:spacing w:after="0" w:line="240" w:lineRule="auto"/>
              <w:rPr>
                <w:rFonts w:ascii="Calibri" w:eastAsia="Times New Roman" w:hAnsi="Calibri" w:cs="Calibri"/>
                <w:color w:val="000000"/>
                <w:sz w:val="24"/>
                <w:szCs w:val="24"/>
              </w:rPr>
            </w:pPr>
          </w:p>
        </w:tc>
        <w:tc>
          <w:tcPr>
            <w:tcW w:w="236" w:type="dxa"/>
            <w:tcBorders>
              <w:top w:val="nil"/>
              <w:left w:val="nil"/>
              <w:bottom w:val="single" w:sz="4" w:space="0" w:color="auto"/>
              <w:right w:val="single" w:sz="4" w:space="0" w:color="auto"/>
            </w:tcBorders>
            <w:shd w:val="clear" w:color="auto" w:fill="auto"/>
            <w:noWrap/>
            <w:vAlign w:val="bottom"/>
            <w:hideMark/>
          </w:tcPr>
          <w:p w:rsidR="00964D6B" w:rsidRPr="00964D6B" w:rsidRDefault="00964D6B" w:rsidP="00964D6B">
            <w:pPr>
              <w:spacing w:after="0" w:line="240" w:lineRule="auto"/>
              <w:jc w:val="right"/>
              <w:rPr>
                <w:rFonts w:ascii="Calibri" w:eastAsia="Times New Roman" w:hAnsi="Calibri" w:cs="Calibri"/>
                <w:b/>
                <w:bCs/>
                <w:color w:val="000000"/>
                <w:sz w:val="24"/>
                <w:szCs w:val="24"/>
              </w:rPr>
            </w:pPr>
          </w:p>
        </w:tc>
        <w:tc>
          <w:tcPr>
            <w:tcW w:w="767" w:type="dxa"/>
            <w:tcBorders>
              <w:top w:val="nil"/>
              <w:left w:val="single" w:sz="4" w:space="0" w:color="auto"/>
              <w:bottom w:val="single" w:sz="4" w:space="0" w:color="auto"/>
              <w:right w:val="nil"/>
            </w:tcBorders>
            <w:shd w:val="clear" w:color="auto" w:fill="auto"/>
            <w:vAlign w:val="bottom"/>
          </w:tcPr>
          <w:p w:rsidR="00964D6B" w:rsidRPr="00D52069" w:rsidRDefault="00964D6B" w:rsidP="00964D6B">
            <w:pPr>
              <w:spacing w:after="0" w:line="240" w:lineRule="auto"/>
              <w:jc w:val="right"/>
              <w:rPr>
                <w:rFonts w:ascii="Calibri" w:eastAsia="Times New Roman" w:hAnsi="Calibri" w:cs="Calibri"/>
                <w:b/>
                <w:bCs/>
                <w:color w:val="000000"/>
                <w:sz w:val="24"/>
                <w:szCs w:val="24"/>
              </w:rPr>
            </w:pPr>
            <w:r w:rsidRPr="00964D6B">
              <w:rPr>
                <w:rFonts w:ascii="Calibri" w:eastAsia="Times New Roman" w:hAnsi="Calibri" w:cs="Calibri"/>
                <w:b/>
                <w:bCs/>
                <w:color w:val="000000"/>
                <w:sz w:val="24"/>
                <w:szCs w:val="24"/>
              </w:rPr>
              <w:t>2018</w:t>
            </w:r>
          </w:p>
        </w:tc>
        <w:tc>
          <w:tcPr>
            <w:tcW w:w="288" w:type="dxa"/>
            <w:tcBorders>
              <w:top w:val="nil"/>
              <w:left w:val="nil"/>
              <w:bottom w:val="single" w:sz="4" w:space="0" w:color="auto"/>
              <w:right w:val="single" w:sz="4" w:space="0" w:color="auto"/>
            </w:tcBorders>
            <w:shd w:val="clear" w:color="auto" w:fill="auto"/>
            <w:noWrap/>
            <w:vAlign w:val="bottom"/>
            <w:hideMark/>
          </w:tcPr>
          <w:p w:rsidR="00964D6B" w:rsidRPr="00964D6B" w:rsidRDefault="00964D6B" w:rsidP="00964D6B">
            <w:pPr>
              <w:spacing w:after="0" w:line="240" w:lineRule="auto"/>
              <w:jc w:val="right"/>
              <w:rPr>
                <w:rFonts w:ascii="Calibri" w:eastAsia="Times New Roman" w:hAnsi="Calibri" w:cs="Calibri"/>
                <w:b/>
                <w:bCs/>
                <w:color w:val="000000"/>
                <w:sz w:val="24"/>
                <w:szCs w:val="24"/>
              </w:rPr>
            </w:pPr>
          </w:p>
        </w:tc>
        <w:tc>
          <w:tcPr>
            <w:tcW w:w="672" w:type="dxa"/>
            <w:tcBorders>
              <w:top w:val="nil"/>
              <w:left w:val="single" w:sz="4" w:space="0" w:color="auto"/>
              <w:bottom w:val="single" w:sz="4" w:space="0" w:color="auto"/>
              <w:right w:val="nil"/>
            </w:tcBorders>
            <w:shd w:val="clear" w:color="auto" w:fill="auto"/>
            <w:vAlign w:val="bottom"/>
          </w:tcPr>
          <w:p w:rsidR="00964D6B" w:rsidRPr="00D52069" w:rsidRDefault="00964D6B" w:rsidP="00964D6B">
            <w:pPr>
              <w:spacing w:after="0" w:line="240" w:lineRule="auto"/>
              <w:jc w:val="right"/>
              <w:rPr>
                <w:rFonts w:ascii="Calibri" w:eastAsia="Times New Roman" w:hAnsi="Calibri" w:cs="Calibri"/>
                <w:b/>
                <w:bCs/>
                <w:color w:val="000000"/>
                <w:sz w:val="24"/>
                <w:szCs w:val="24"/>
              </w:rPr>
            </w:pPr>
            <w:r w:rsidRPr="00964D6B">
              <w:rPr>
                <w:rFonts w:ascii="Calibri" w:eastAsia="Times New Roman" w:hAnsi="Calibri" w:cs="Calibri"/>
                <w:b/>
                <w:bCs/>
                <w:color w:val="000000"/>
                <w:sz w:val="24"/>
                <w:szCs w:val="24"/>
              </w:rPr>
              <w:t>2017</w:t>
            </w:r>
          </w:p>
        </w:tc>
        <w:tc>
          <w:tcPr>
            <w:tcW w:w="236" w:type="dxa"/>
            <w:tcBorders>
              <w:top w:val="nil"/>
              <w:left w:val="nil"/>
              <w:bottom w:val="single" w:sz="4" w:space="0" w:color="auto"/>
              <w:right w:val="single" w:sz="4" w:space="0" w:color="auto"/>
            </w:tcBorders>
            <w:shd w:val="clear" w:color="auto" w:fill="auto"/>
            <w:noWrap/>
            <w:vAlign w:val="bottom"/>
            <w:hideMark/>
          </w:tcPr>
          <w:p w:rsidR="00964D6B" w:rsidRPr="00964D6B" w:rsidRDefault="00964D6B" w:rsidP="00964D6B">
            <w:pPr>
              <w:spacing w:after="0" w:line="240" w:lineRule="auto"/>
              <w:jc w:val="right"/>
              <w:rPr>
                <w:rFonts w:ascii="Calibri" w:eastAsia="Times New Roman" w:hAnsi="Calibri" w:cs="Calibri"/>
                <w:b/>
                <w:bCs/>
                <w:color w:val="000000"/>
                <w:sz w:val="24"/>
                <w:szCs w:val="24"/>
              </w:rPr>
            </w:pPr>
          </w:p>
        </w:tc>
        <w:tc>
          <w:tcPr>
            <w:tcW w:w="797" w:type="dxa"/>
            <w:tcBorders>
              <w:top w:val="nil"/>
              <w:left w:val="single" w:sz="4" w:space="0" w:color="auto"/>
              <w:bottom w:val="single" w:sz="4" w:space="0" w:color="auto"/>
              <w:right w:val="nil"/>
            </w:tcBorders>
            <w:shd w:val="clear" w:color="auto" w:fill="auto"/>
            <w:vAlign w:val="bottom"/>
          </w:tcPr>
          <w:p w:rsidR="00964D6B" w:rsidRPr="00D52069" w:rsidRDefault="00964D6B" w:rsidP="00964D6B">
            <w:pPr>
              <w:spacing w:after="0" w:line="240" w:lineRule="auto"/>
              <w:jc w:val="right"/>
              <w:rPr>
                <w:rFonts w:ascii="Calibri" w:eastAsia="Times New Roman" w:hAnsi="Calibri" w:cs="Calibri"/>
                <w:b/>
                <w:bCs/>
                <w:color w:val="000000"/>
                <w:sz w:val="24"/>
                <w:szCs w:val="24"/>
              </w:rPr>
            </w:pPr>
            <w:r w:rsidRPr="00964D6B">
              <w:rPr>
                <w:rFonts w:ascii="Calibri" w:eastAsia="Times New Roman" w:hAnsi="Calibri" w:cs="Calibri"/>
                <w:b/>
                <w:bCs/>
                <w:color w:val="000000"/>
                <w:sz w:val="24"/>
                <w:szCs w:val="24"/>
              </w:rPr>
              <w:t>2016</w:t>
            </w:r>
          </w:p>
        </w:tc>
        <w:tc>
          <w:tcPr>
            <w:tcW w:w="236" w:type="dxa"/>
            <w:tcBorders>
              <w:top w:val="nil"/>
              <w:left w:val="nil"/>
              <w:bottom w:val="single" w:sz="4" w:space="0" w:color="auto"/>
              <w:right w:val="single" w:sz="4" w:space="0" w:color="auto"/>
            </w:tcBorders>
            <w:shd w:val="clear" w:color="auto" w:fill="auto"/>
            <w:noWrap/>
            <w:vAlign w:val="bottom"/>
            <w:hideMark/>
          </w:tcPr>
          <w:p w:rsidR="00964D6B" w:rsidRPr="00964D6B" w:rsidRDefault="00964D6B" w:rsidP="00964D6B">
            <w:pPr>
              <w:spacing w:after="0" w:line="240" w:lineRule="auto"/>
              <w:jc w:val="right"/>
              <w:rPr>
                <w:rFonts w:ascii="Calibri" w:eastAsia="Times New Roman" w:hAnsi="Calibri" w:cs="Calibri"/>
                <w:b/>
                <w:bCs/>
                <w:color w:val="000000"/>
                <w:sz w:val="24"/>
                <w:szCs w:val="24"/>
              </w:rPr>
            </w:pPr>
          </w:p>
        </w:tc>
        <w:tc>
          <w:tcPr>
            <w:tcW w:w="797" w:type="dxa"/>
            <w:tcBorders>
              <w:top w:val="nil"/>
              <w:left w:val="single" w:sz="4" w:space="0" w:color="auto"/>
              <w:bottom w:val="single" w:sz="4" w:space="0" w:color="auto"/>
              <w:right w:val="nil"/>
            </w:tcBorders>
            <w:shd w:val="clear" w:color="auto" w:fill="auto"/>
            <w:vAlign w:val="bottom"/>
          </w:tcPr>
          <w:p w:rsidR="00964D6B" w:rsidRPr="00D52069" w:rsidRDefault="00964D6B" w:rsidP="00964D6B">
            <w:pPr>
              <w:spacing w:after="0" w:line="240" w:lineRule="auto"/>
              <w:jc w:val="right"/>
              <w:rPr>
                <w:rFonts w:ascii="Calibri" w:eastAsia="Times New Roman" w:hAnsi="Calibri" w:cs="Calibri"/>
                <w:b/>
                <w:bCs/>
                <w:color w:val="000000"/>
                <w:sz w:val="24"/>
                <w:szCs w:val="24"/>
              </w:rPr>
            </w:pPr>
            <w:r w:rsidRPr="00964D6B">
              <w:rPr>
                <w:rFonts w:ascii="Calibri" w:eastAsia="Times New Roman" w:hAnsi="Calibri" w:cs="Calibri"/>
                <w:b/>
                <w:bCs/>
                <w:color w:val="000000"/>
                <w:sz w:val="24"/>
                <w:szCs w:val="24"/>
              </w:rPr>
              <w:t>2015</w:t>
            </w:r>
          </w:p>
        </w:tc>
        <w:tc>
          <w:tcPr>
            <w:tcW w:w="236" w:type="dxa"/>
            <w:tcBorders>
              <w:top w:val="nil"/>
              <w:left w:val="nil"/>
              <w:bottom w:val="single" w:sz="4" w:space="0" w:color="auto"/>
              <w:right w:val="single" w:sz="4" w:space="0" w:color="auto"/>
            </w:tcBorders>
            <w:shd w:val="clear" w:color="auto" w:fill="auto"/>
            <w:noWrap/>
            <w:vAlign w:val="bottom"/>
            <w:hideMark/>
          </w:tcPr>
          <w:p w:rsidR="00964D6B" w:rsidRPr="00964D6B" w:rsidRDefault="00964D6B" w:rsidP="00964D6B">
            <w:pPr>
              <w:spacing w:after="0" w:line="240" w:lineRule="auto"/>
              <w:jc w:val="right"/>
              <w:rPr>
                <w:rFonts w:ascii="Calibri" w:eastAsia="Times New Roman" w:hAnsi="Calibri" w:cs="Calibri"/>
                <w:b/>
                <w:bCs/>
                <w:color w:val="000000"/>
                <w:sz w:val="24"/>
                <w:szCs w:val="24"/>
              </w:rPr>
            </w:pPr>
          </w:p>
        </w:tc>
        <w:tc>
          <w:tcPr>
            <w:tcW w:w="847" w:type="dxa"/>
            <w:tcBorders>
              <w:top w:val="nil"/>
              <w:left w:val="single" w:sz="4" w:space="0" w:color="auto"/>
              <w:bottom w:val="single" w:sz="4" w:space="0" w:color="auto"/>
              <w:right w:val="nil"/>
            </w:tcBorders>
            <w:shd w:val="clear" w:color="auto" w:fill="auto"/>
            <w:vAlign w:val="bottom"/>
          </w:tcPr>
          <w:p w:rsidR="00964D6B" w:rsidRPr="00D52069" w:rsidRDefault="00964D6B" w:rsidP="00964D6B">
            <w:pPr>
              <w:spacing w:after="0" w:line="240" w:lineRule="auto"/>
              <w:jc w:val="right"/>
              <w:rPr>
                <w:rFonts w:ascii="Calibri" w:eastAsia="Times New Roman" w:hAnsi="Calibri" w:cs="Calibri"/>
                <w:b/>
                <w:bCs/>
                <w:color w:val="000000"/>
                <w:sz w:val="24"/>
                <w:szCs w:val="24"/>
              </w:rPr>
            </w:pPr>
            <w:r w:rsidRPr="00964D6B">
              <w:rPr>
                <w:rFonts w:ascii="Calibri" w:eastAsia="Times New Roman" w:hAnsi="Calibri" w:cs="Calibri"/>
                <w:b/>
                <w:bCs/>
                <w:color w:val="000000"/>
                <w:sz w:val="24"/>
                <w:szCs w:val="24"/>
              </w:rPr>
              <w:t>2014</w:t>
            </w:r>
          </w:p>
        </w:tc>
      </w:tr>
      <w:tr w:rsidR="00964D6B" w:rsidRPr="00D52069" w:rsidTr="00964D6B">
        <w:trPr>
          <w:trHeight w:val="288"/>
        </w:trPr>
        <w:tc>
          <w:tcPr>
            <w:tcW w:w="3700" w:type="dxa"/>
            <w:tcBorders>
              <w:top w:val="single" w:sz="4" w:space="0" w:color="auto"/>
              <w:left w:val="nil"/>
              <w:bottom w:val="nil"/>
              <w:right w:val="nil"/>
            </w:tcBorders>
            <w:shd w:val="clear" w:color="auto" w:fill="auto"/>
            <w:noWrap/>
            <w:vAlign w:val="bottom"/>
            <w:hideMark/>
          </w:tcPr>
          <w:p w:rsidR="00964D6B" w:rsidRPr="00964D6B" w:rsidRDefault="00964D6B" w:rsidP="00964D6B">
            <w:pPr>
              <w:spacing w:after="0" w:line="240" w:lineRule="auto"/>
              <w:rPr>
                <w:rFonts w:ascii="Calibri" w:eastAsia="Times New Roman" w:hAnsi="Calibri" w:cs="Calibri"/>
                <w:color w:val="000000"/>
                <w:sz w:val="24"/>
                <w:szCs w:val="24"/>
              </w:rPr>
            </w:pPr>
            <w:r w:rsidRPr="00964D6B">
              <w:rPr>
                <w:rFonts w:ascii="Calibri" w:eastAsia="Times New Roman" w:hAnsi="Calibri" w:cs="Calibri"/>
                <w:color w:val="000000"/>
                <w:sz w:val="24"/>
                <w:szCs w:val="24"/>
              </w:rPr>
              <w:t>Earnings Per Share (Taka)</w:t>
            </w:r>
          </w:p>
        </w:tc>
        <w:tc>
          <w:tcPr>
            <w:tcW w:w="236" w:type="dxa"/>
            <w:tcBorders>
              <w:top w:val="single" w:sz="4" w:space="0" w:color="auto"/>
              <w:left w:val="nil"/>
              <w:bottom w:val="nil"/>
              <w:right w:val="single" w:sz="4" w:space="0" w:color="auto"/>
            </w:tcBorders>
            <w:shd w:val="clear" w:color="auto" w:fill="auto"/>
            <w:noWrap/>
            <w:vAlign w:val="bottom"/>
            <w:hideMark/>
          </w:tcPr>
          <w:p w:rsidR="00964D6B" w:rsidRPr="00964D6B" w:rsidRDefault="00964D6B" w:rsidP="00964D6B">
            <w:pPr>
              <w:spacing w:after="0" w:line="240" w:lineRule="auto"/>
              <w:jc w:val="right"/>
              <w:rPr>
                <w:rFonts w:ascii="Calibri" w:eastAsia="Times New Roman" w:hAnsi="Calibri" w:cs="Calibri"/>
                <w:b/>
                <w:bCs/>
                <w:color w:val="000000"/>
                <w:sz w:val="24"/>
                <w:szCs w:val="24"/>
              </w:rPr>
            </w:pPr>
          </w:p>
        </w:tc>
        <w:tc>
          <w:tcPr>
            <w:tcW w:w="767" w:type="dxa"/>
            <w:tcBorders>
              <w:top w:val="single" w:sz="4" w:space="0" w:color="auto"/>
              <w:left w:val="single" w:sz="4" w:space="0" w:color="auto"/>
              <w:bottom w:val="nil"/>
              <w:right w:val="nil"/>
            </w:tcBorders>
            <w:shd w:val="clear" w:color="auto" w:fill="auto"/>
            <w:vAlign w:val="bottom"/>
          </w:tcPr>
          <w:p w:rsidR="00964D6B" w:rsidRPr="00D52069" w:rsidRDefault="00964D6B" w:rsidP="00964D6B">
            <w:pPr>
              <w:spacing w:after="0" w:line="240" w:lineRule="auto"/>
              <w:jc w:val="right"/>
              <w:rPr>
                <w:rFonts w:ascii="Calibri" w:eastAsia="Times New Roman" w:hAnsi="Calibri" w:cs="Calibri"/>
                <w:b/>
                <w:bCs/>
                <w:color w:val="000000"/>
                <w:sz w:val="24"/>
                <w:szCs w:val="24"/>
              </w:rPr>
            </w:pPr>
            <w:r w:rsidRPr="00964D6B">
              <w:rPr>
                <w:rFonts w:ascii="Calibri" w:eastAsia="Times New Roman" w:hAnsi="Calibri" w:cs="Calibri"/>
                <w:b/>
                <w:bCs/>
                <w:color w:val="000000"/>
                <w:sz w:val="24"/>
                <w:szCs w:val="24"/>
              </w:rPr>
              <w:t>1.93</w:t>
            </w:r>
          </w:p>
        </w:tc>
        <w:tc>
          <w:tcPr>
            <w:tcW w:w="288" w:type="dxa"/>
            <w:tcBorders>
              <w:top w:val="single" w:sz="4" w:space="0" w:color="auto"/>
              <w:left w:val="nil"/>
              <w:bottom w:val="nil"/>
              <w:right w:val="single" w:sz="4" w:space="0" w:color="auto"/>
            </w:tcBorders>
            <w:shd w:val="clear" w:color="auto" w:fill="auto"/>
            <w:noWrap/>
            <w:vAlign w:val="bottom"/>
            <w:hideMark/>
          </w:tcPr>
          <w:p w:rsidR="00964D6B" w:rsidRPr="00964D6B" w:rsidRDefault="00964D6B" w:rsidP="00964D6B">
            <w:pPr>
              <w:spacing w:after="0" w:line="240" w:lineRule="auto"/>
              <w:jc w:val="right"/>
              <w:rPr>
                <w:rFonts w:ascii="Calibri" w:eastAsia="Times New Roman" w:hAnsi="Calibri" w:cs="Calibri"/>
                <w:b/>
                <w:bCs/>
                <w:color w:val="000000"/>
                <w:sz w:val="24"/>
                <w:szCs w:val="24"/>
              </w:rPr>
            </w:pPr>
          </w:p>
        </w:tc>
        <w:tc>
          <w:tcPr>
            <w:tcW w:w="672" w:type="dxa"/>
            <w:tcBorders>
              <w:top w:val="single" w:sz="4" w:space="0" w:color="auto"/>
              <w:left w:val="single" w:sz="4" w:space="0" w:color="auto"/>
              <w:bottom w:val="nil"/>
              <w:right w:val="nil"/>
            </w:tcBorders>
            <w:shd w:val="clear" w:color="auto" w:fill="auto"/>
            <w:vAlign w:val="bottom"/>
          </w:tcPr>
          <w:p w:rsidR="00964D6B" w:rsidRPr="00D52069" w:rsidRDefault="00964D6B" w:rsidP="00964D6B">
            <w:pPr>
              <w:spacing w:after="0" w:line="240" w:lineRule="auto"/>
              <w:jc w:val="right"/>
              <w:rPr>
                <w:rFonts w:ascii="Calibri" w:eastAsia="Times New Roman" w:hAnsi="Calibri" w:cs="Calibri"/>
                <w:b/>
                <w:bCs/>
                <w:color w:val="000000"/>
                <w:sz w:val="24"/>
                <w:szCs w:val="24"/>
              </w:rPr>
            </w:pPr>
            <w:r w:rsidRPr="00964D6B">
              <w:rPr>
                <w:rFonts w:ascii="Calibri" w:eastAsia="Times New Roman" w:hAnsi="Calibri" w:cs="Calibri"/>
                <w:b/>
                <w:bCs/>
                <w:color w:val="000000"/>
                <w:sz w:val="24"/>
                <w:szCs w:val="24"/>
              </w:rPr>
              <w:t>0.94</w:t>
            </w:r>
          </w:p>
        </w:tc>
        <w:tc>
          <w:tcPr>
            <w:tcW w:w="236" w:type="dxa"/>
            <w:tcBorders>
              <w:top w:val="single" w:sz="4" w:space="0" w:color="auto"/>
              <w:left w:val="nil"/>
              <w:bottom w:val="nil"/>
              <w:right w:val="single" w:sz="4" w:space="0" w:color="auto"/>
            </w:tcBorders>
            <w:shd w:val="clear" w:color="auto" w:fill="auto"/>
            <w:noWrap/>
            <w:vAlign w:val="bottom"/>
            <w:hideMark/>
          </w:tcPr>
          <w:p w:rsidR="00964D6B" w:rsidRPr="00964D6B" w:rsidRDefault="00964D6B" w:rsidP="00964D6B">
            <w:pPr>
              <w:spacing w:after="0" w:line="240" w:lineRule="auto"/>
              <w:jc w:val="right"/>
              <w:rPr>
                <w:rFonts w:ascii="Calibri" w:eastAsia="Times New Roman" w:hAnsi="Calibri" w:cs="Calibri"/>
                <w:b/>
                <w:bCs/>
                <w:color w:val="000000"/>
                <w:sz w:val="24"/>
                <w:szCs w:val="24"/>
              </w:rPr>
            </w:pPr>
          </w:p>
        </w:tc>
        <w:tc>
          <w:tcPr>
            <w:tcW w:w="797" w:type="dxa"/>
            <w:tcBorders>
              <w:top w:val="single" w:sz="4" w:space="0" w:color="auto"/>
              <w:left w:val="single" w:sz="4" w:space="0" w:color="auto"/>
              <w:bottom w:val="nil"/>
              <w:right w:val="nil"/>
            </w:tcBorders>
            <w:shd w:val="clear" w:color="auto" w:fill="auto"/>
            <w:vAlign w:val="bottom"/>
          </w:tcPr>
          <w:p w:rsidR="00964D6B" w:rsidRPr="00D52069" w:rsidRDefault="00964D6B" w:rsidP="00964D6B">
            <w:pPr>
              <w:spacing w:after="0" w:line="240" w:lineRule="auto"/>
              <w:jc w:val="right"/>
              <w:rPr>
                <w:rFonts w:ascii="Calibri" w:eastAsia="Times New Roman" w:hAnsi="Calibri" w:cs="Calibri"/>
                <w:b/>
                <w:bCs/>
                <w:color w:val="000000"/>
                <w:sz w:val="24"/>
                <w:szCs w:val="24"/>
              </w:rPr>
            </w:pPr>
            <w:r w:rsidRPr="00964D6B">
              <w:rPr>
                <w:rFonts w:ascii="Calibri" w:eastAsia="Times New Roman" w:hAnsi="Calibri" w:cs="Calibri"/>
                <w:b/>
                <w:bCs/>
                <w:color w:val="000000"/>
                <w:sz w:val="24"/>
                <w:szCs w:val="24"/>
              </w:rPr>
              <w:t>1.94</w:t>
            </w:r>
          </w:p>
        </w:tc>
        <w:tc>
          <w:tcPr>
            <w:tcW w:w="236" w:type="dxa"/>
            <w:tcBorders>
              <w:top w:val="single" w:sz="4" w:space="0" w:color="auto"/>
              <w:left w:val="nil"/>
              <w:bottom w:val="nil"/>
              <w:right w:val="single" w:sz="4" w:space="0" w:color="auto"/>
            </w:tcBorders>
            <w:shd w:val="clear" w:color="auto" w:fill="auto"/>
            <w:noWrap/>
            <w:vAlign w:val="bottom"/>
            <w:hideMark/>
          </w:tcPr>
          <w:p w:rsidR="00964D6B" w:rsidRPr="00964D6B" w:rsidRDefault="00964D6B" w:rsidP="00964D6B">
            <w:pPr>
              <w:spacing w:after="0" w:line="240" w:lineRule="auto"/>
              <w:jc w:val="right"/>
              <w:rPr>
                <w:rFonts w:ascii="Calibri" w:eastAsia="Times New Roman" w:hAnsi="Calibri" w:cs="Calibri"/>
                <w:b/>
                <w:bCs/>
                <w:color w:val="000000"/>
                <w:sz w:val="24"/>
                <w:szCs w:val="24"/>
              </w:rPr>
            </w:pPr>
          </w:p>
        </w:tc>
        <w:tc>
          <w:tcPr>
            <w:tcW w:w="797" w:type="dxa"/>
            <w:tcBorders>
              <w:top w:val="single" w:sz="4" w:space="0" w:color="auto"/>
              <w:left w:val="single" w:sz="4" w:space="0" w:color="auto"/>
              <w:bottom w:val="nil"/>
              <w:right w:val="nil"/>
            </w:tcBorders>
            <w:shd w:val="clear" w:color="auto" w:fill="auto"/>
            <w:vAlign w:val="bottom"/>
          </w:tcPr>
          <w:p w:rsidR="00964D6B" w:rsidRPr="00D52069" w:rsidRDefault="00964D6B" w:rsidP="00964D6B">
            <w:pPr>
              <w:spacing w:after="0" w:line="240" w:lineRule="auto"/>
              <w:jc w:val="right"/>
              <w:rPr>
                <w:rFonts w:ascii="Calibri" w:eastAsia="Times New Roman" w:hAnsi="Calibri" w:cs="Calibri"/>
                <w:b/>
                <w:bCs/>
                <w:color w:val="000000"/>
                <w:sz w:val="24"/>
                <w:szCs w:val="24"/>
              </w:rPr>
            </w:pPr>
            <w:r w:rsidRPr="00964D6B">
              <w:rPr>
                <w:rFonts w:ascii="Calibri" w:eastAsia="Times New Roman" w:hAnsi="Calibri" w:cs="Calibri"/>
                <w:b/>
                <w:bCs/>
                <w:color w:val="000000"/>
                <w:sz w:val="24"/>
                <w:szCs w:val="24"/>
              </w:rPr>
              <w:t>1.89</w:t>
            </w:r>
          </w:p>
        </w:tc>
        <w:tc>
          <w:tcPr>
            <w:tcW w:w="236" w:type="dxa"/>
            <w:tcBorders>
              <w:top w:val="single" w:sz="4" w:space="0" w:color="auto"/>
              <w:left w:val="nil"/>
              <w:bottom w:val="nil"/>
              <w:right w:val="single" w:sz="4" w:space="0" w:color="auto"/>
            </w:tcBorders>
            <w:shd w:val="clear" w:color="auto" w:fill="auto"/>
            <w:noWrap/>
            <w:vAlign w:val="bottom"/>
            <w:hideMark/>
          </w:tcPr>
          <w:p w:rsidR="00964D6B" w:rsidRPr="00964D6B" w:rsidRDefault="00964D6B" w:rsidP="00964D6B">
            <w:pPr>
              <w:spacing w:after="0" w:line="240" w:lineRule="auto"/>
              <w:jc w:val="right"/>
              <w:rPr>
                <w:rFonts w:ascii="Calibri" w:eastAsia="Times New Roman" w:hAnsi="Calibri" w:cs="Calibri"/>
                <w:b/>
                <w:bCs/>
                <w:color w:val="000000"/>
                <w:sz w:val="24"/>
                <w:szCs w:val="24"/>
              </w:rPr>
            </w:pPr>
          </w:p>
        </w:tc>
        <w:tc>
          <w:tcPr>
            <w:tcW w:w="847" w:type="dxa"/>
            <w:tcBorders>
              <w:top w:val="single" w:sz="4" w:space="0" w:color="auto"/>
              <w:left w:val="single" w:sz="4" w:space="0" w:color="auto"/>
              <w:bottom w:val="nil"/>
              <w:right w:val="nil"/>
            </w:tcBorders>
            <w:shd w:val="clear" w:color="auto" w:fill="auto"/>
            <w:vAlign w:val="bottom"/>
          </w:tcPr>
          <w:p w:rsidR="00964D6B" w:rsidRPr="00D52069" w:rsidRDefault="00964D6B" w:rsidP="00964D6B">
            <w:pPr>
              <w:spacing w:after="0" w:line="240" w:lineRule="auto"/>
              <w:jc w:val="right"/>
              <w:rPr>
                <w:rFonts w:ascii="Calibri" w:eastAsia="Times New Roman" w:hAnsi="Calibri" w:cs="Calibri"/>
                <w:b/>
                <w:bCs/>
                <w:color w:val="000000"/>
                <w:sz w:val="24"/>
                <w:szCs w:val="24"/>
              </w:rPr>
            </w:pPr>
            <w:r w:rsidRPr="00964D6B">
              <w:rPr>
                <w:rFonts w:ascii="Calibri" w:eastAsia="Times New Roman" w:hAnsi="Calibri" w:cs="Calibri"/>
                <w:b/>
                <w:bCs/>
                <w:color w:val="000000"/>
                <w:sz w:val="24"/>
                <w:szCs w:val="24"/>
              </w:rPr>
              <w:t>2.11</w:t>
            </w:r>
          </w:p>
        </w:tc>
      </w:tr>
    </w:tbl>
    <w:p w:rsidR="004006E0" w:rsidRPr="00D52069" w:rsidRDefault="004006E0" w:rsidP="004006E0">
      <w:pPr>
        <w:rPr>
          <w:b/>
          <w:sz w:val="24"/>
          <w:szCs w:val="24"/>
        </w:rPr>
      </w:pPr>
    </w:p>
    <w:p w:rsidR="004006E0" w:rsidRPr="00D52069" w:rsidRDefault="008A1A78" w:rsidP="00CB4544">
      <w:pPr>
        <w:jc w:val="both"/>
        <w:rPr>
          <w:sz w:val="24"/>
          <w:szCs w:val="24"/>
        </w:rPr>
      </w:pPr>
      <w:r w:rsidRPr="00D52069">
        <w:rPr>
          <w:sz w:val="24"/>
          <w:szCs w:val="24"/>
        </w:rPr>
        <w:t>Earnings per share are</w:t>
      </w:r>
      <w:r w:rsidR="004006E0" w:rsidRPr="00D52069">
        <w:rPr>
          <w:sz w:val="24"/>
          <w:szCs w:val="24"/>
        </w:rPr>
        <w:t xml:space="preserve"> a</w:t>
      </w:r>
      <w:r w:rsidR="00964D6B" w:rsidRPr="00D52069">
        <w:rPr>
          <w:sz w:val="24"/>
          <w:szCs w:val="24"/>
        </w:rPr>
        <w:t xml:space="preserve"> market prospect ratio</w:t>
      </w:r>
      <w:r w:rsidR="004006E0" w:rsidRPr="00D52069">
        <w:rPr>
          <w:sz w:val="24"/>
          <w:szCs w:val="24"/>
        </w:rPr>
        <w:t xml:space="preserve"> that shows how much net income has been earned from each share of common stock.</w:t>
      </w:r>
      <w:r w:rsidR="00964D6B" w:rsidRPr="00D52069">
        <w:rPr>
          <w:sz w:val="24"/>
          <w:szCs w:val="24"/>
        </w:rPr>
        <w:t xml:space="preserve"> It is also known as net income per share. </w:t>
      </w:r>
      <w:r w:rsidR="004006E0" w:rsidRPr="00D52069">
        <w:rPr>
          <w:sz w:val="24"/>
          <w:szCs w:val="24"/>
        </w:rPr>
        <w:t xml:space="preserve"> </w:t>
      </w:r>
    </w:p>
    <w:p w:rsidR="00964D6B" w:rsidRPr="00D52069" w:rsidRDefault="00964D6B" w:rsidP="00CB4544">
      <w:pPr>
        <w:jc w:val="both"/>
        <w:rPr>
          <w:sz w:val="24"/>
          <w:szCs w:val="24"/>
        </w:rPr>
      </w:pPr>
      <w:r w:rsidRPr="00D52069">
        <w:rPr>
          <w:sz w:val="24"/>
          <w:szCs w:val="24"/>
        </w:rPr>
        <w:t xml:space="preserve">EPS= Net Income/ Average outstanding shares </w:t>
      </w:r>
    </w:p>
    <w:p w:rsidR="004006E0" w:rsidRPr="00D52069" w:rsidRDefault="00964D6B" w:rsidP="00CB4544">
      <w:pPr>
        <w:jc w:val="both"/>
        <w:rPr>
          <w:sz w:val="24"/>
          <w:szCs w:val="24"/>
        </w:rPr>
      </w:pPr>
      <w:r w:rsidRPr="00D52069">
        <w:rPr>
          <w:sz w:val="24"/>
          <w:szCs w:val="24"/>
        </w:rPr>
        <w:t>In 2018 PBLs earning per share was BDT 1.93 compared to BDT 0.94 in previous year. In 2016 EPS was BDT 1.94 and in 2015 EPS was 1.89. In 2014 EPS stood at BDT 2.11 which was the highest during the five years period. The bank was</w:t>
      </w:r>
      <w:r w:rsidR="00E90AB3" w:rsidRPr="00D52069">
        <w:rPr>
          <w:sz w:val="24"/>
          <w:szCs w:val="24"/>
        </w:rPr>
        <w:t xml:space="preserve"> more</w:t>
      </w:r>
      <w:r w:rsidRPr="00D52069">
        <w:rPr>
          <w:sz w:val="24"/>
          <w:szCs w:val="24"/>
        </w:rPr>
        <w:t xml:space="preserve"> capable of generating large dividend for investors</w:t>
      </w:r>
      <w:r w:rsidR="00E90AB3" w:rsidRPr="00D52069">
        <w:rPr>
          <w:sz w:val="24"/>
          <w:szCs w:val="24"/>
        </w:rPr>
        <w:t xml:space="preserve"> in that time</w:t>
      </w:r>
      <w:r w:rsidRPr="00D52069">
        <w:rPr>
          <w:sz w:val="24"/>
          <w:szCs w:val="24"/>
        </w:rPr>
        <w:t>.</w:t>
      </w:r>
    </w:p>
    <w:p w:rsidR="00964D6B" w:rsidRPr="00D52069" w:rsidRDefault="00964D6B" w:rsidP="00CB4544">
      <w:pPr>
        <w:jc w:val="both"/>
        <w:rPr>
          <w:sz w:val="24"/>
          <w:szCs w:val="24"/>
        </w:rPr>
      </w:pPr>
    </w:p>
    <w:p w:rsidR="00964D6B" w:rsidRPr="00D52069" w:rsidRDefault="00964D6B" w:rsidP="004006E0">
      <w:pPr>
        <w:rPr>
          <w:sz w:val="24"/>
          <w:szCs w:val="24"/>
        </w:rPr>
      </w:pPr>
    </w:p>
    <w:p w:rsidR="00964D6B" w:rsidRPr="00D52069" w:rsidRDefault="00964D6B" w:rsidP="004006E0">
      <w:pPr>
        <w:rPr>
          <w:sz w:val="24"/>
          <w:szCs w:val="24"/>
        </w:rPr>
      </w:pPr>
    </w:p>
    <w:p w:rsidR="00964D6B" w:rsidRPr="00D52069" w:rsidRDefault="00964D6B" w:rsidP="004006E0">
      <w:pPr>
        <w:rPr>
          <w:sz w:val="24"/>
          <w:szCs w:val="24"/>
        </w:rPr>
      </w:pPr>
    </w:p>
    <w:p w:rsidR="00964D6B" w:rsidRPr="00D52069" w:rsidRDefault="00964D6B" w:rsidP="004006E0">
      <w:pPr>
        <w:rPr>
          <w:sz w:val="24"/>
          <w:szCs w:val="24"/>
        </w:rPr>
      </w:pPr>
    </w:p>
    <w:p w:rsidR="00964D6B" w:rsidRPr="00D52069" w:rsidRDefault="00964D6B" w:rsidP="004006E0">
      <w:pPr>
        <w:rPr>
          <w:sz w:val="24"/>
          <w:szCs w:val="24"/>
        </w:rPr>
      </w:pPr>
    </w:p>
    <w:p w:rsidR="00F135D5" w:rsidRDefault="00F135D5" w:rsidP="00127653">
      <w:pPr>
        <w:rPr>
          <w:b/>
          <w:sz w:val="24"/>
          <w:szCs w:val="24"/>
        </w:rPr>
      </w:pPr>
    </w:p>
    <w:p w:rsidR="00964D6B" w:rsidRPr="00D52069" w:rsidRDefault="00127653" w:rsidP="00127653">
      <w:pPr>
        <w:rPr>
          <w:sz w:val="24"/>
          <w:szCs w:val="24"/>
        </w:rPr>
      </w:pPr>
      <w:r>
        <w:rPr>
          <w:b/>
          <w:sz w:val="24"/>
          <w:szCs w:val="24"/>
        </w:rPr>
        <w:lastRenderedPageBreak/>
        <w:t xml:space="preserve">(iii) </w:t>
      </w:r>
      <w:r w:rsidR="00E90AB3" w:rsidRPr="00D52069">
        <w:rPr>
          <w:b/>
          <w:sz w:val="24"/>
          <w:szCs w:val="24"/>
        </w:rPr>
        <w:t>Dividend Yield Ratio</w:t>
      </w:r>
      <w:r w:rsidR="00E90AB3" w:rsidRPr="00D52069">
        <w:rPr>
          <w:noProof/>
          <w:sz w:val="24"/>
          <w:szCs w:val="24"/>
        </w:rPr>
        <w:drawing>
          <wp:inline distT="0" distB="0" distL="0" distR="0">
            <wp:extent cx="5486400" cy="3200400"/>
            <wp:effectExtent l="19050" t="0" r="1905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tbl>
      <w:tblPr>
        <w:tblW w:w="8754" w:type="dxa"/>
        <w:tblInd w:w="95" w:type="dxa"/>
        <w:tblLook w:val="04A0" w:firstRow="1" w:lastRow="0" w:firstColumn="1" w:lastColumn="0" w:noHBand="0" w:noVBand="1"/>
      </w:tblPr>
      <w:tblGrid>
        <w:gridCol w:w="3700"/>
        <w:gridCol w:w="980"/>
        <w:gridCol w:w="236"/>
        <w:gridCol w:w="812"/>
        <w:gridCol w:w="263"/>
        <w:gridCol w:w="703"/>
        <w:gridCol w:w="236"/>
        <w:gridCol w:w="846"/>
        <w:gridCol w:w="275"/>
        <w:gridCol w:w="703"/>
      </w:tblGrid>
      <w:tr w:rsidR="00E90AB3" w:rsidRPr="00D52069" w:rsidTr="00E90AB3">
        <w:trPr>
          <w:trHeight w:val="288"/>
        </w:trPr>
        <w:tc>
          <w:tcPr>
            <w:tcW w:w="3700" w:type="dxa"/>
            <w:tcBorders>
              <w:top w:val="nil"/>
              <w:left w:val="nil"/>
              <w:bottom w:val="single" w:sz="4" w:space="0" w:color="auto"/>
              <w:right w:val="single" w:sz="4" w:space="0" w:color="auto"/>
            </w:tcBorders>
            <w:shd w:val="clear" w:color="auto" w:fill="auto"/>
            <w:noWrap/>
            <w:vAlign w:val="bottom"/>
            <w:hideMark/>
          </w:tcPr>
          <w:p w:rsidR="00E90AB3" w:rsidRPr="00E90AB3" w:rsidRDefault="00E90AB3" w:rsidP="00E90AB3">
            <w:pPr>
              <w:spacing w:after="0" w:line="240" w:lineRule="auto"/>
              <w:rPr>
                <w:rFonts w:ascii="Calibri" w:eastAsia="Times New Roman" w:hAnsi="Calibri" w:cs="Calibri"/>
                <w:color w:val="000000"/>
                <w:sz w:val="24"/>
                <w:szCs w:val="24"/>
              </w:rPr>
            </w:pPr>
          </w:p>
        </w:tc>
        <w:tc>
          <w:tcPr>
            <w:tcW w:w="980" w:type="dxa"/>
            <w:tcBorders>
              <w:top w:val="nil"/>
              <w:left w:val="single" w:sz="4" w:space="0" w:color="auto"/>
              <w:bottom w:val="single" w:sz="4" w:space="0" w:color="auto"/>
              <w:right w:val="nil"/>
            </w:tcBorders>
            <w:shd w:val="clear" w:color="auto" w:fill="auto"/>
            <w:noWrap/>
            <w:vAlign w:val="bottom"/>
            <w:hideMark/>
          </w:tcPr>
          <w:p w:rsidR="00E90AB3" w:rsidRPr="00E90AB3" w:rsidRDefault="00E90AB3" w:rsidP="00E90AB3">
            <w:pPr>
              <w:spacing w:after="0" w:line="240" w:lineRule="auto"/>
              <w:jc w:val="right"/>
              <w:rPr>
                <w:rFonts w:ascii="Calibri" w:eastAsia="Times New Roman" w:hAnsi="Calibri" w:cs="Calibri"/>
                <w:b/>
                <w:bCs/>
                <w:color w:val="000000"/>
                <w:sz w:val="24"/>
                <w:szCs w:val="24"/>
              </w:rPr>
            </w:pPr>
            <w:r w:rsidRPr="00E90AB3">
              <w:rPr>
                <w:rFonts w:ascii="Calibri" w:eastAsia="Times New Roman" w:hAnsi="Calibri" w:cs="Calibri"/>
                <w:b/>
                <w:bCs/>
                <w:color w:val="000000"/>
                <w:sz w:val="24"/>
                <w:szCs w:val="24"/>
              </w:rPr>
              <w:t>2018</w:t>
            </w:r>
          </w:p>
        </w:tc>
        <w:tc>
          <w:tcPr>
            <w:tcW w:w="236" w:type="dxa"/>
            <w:tcBorders>
              <w:top w:val="nil"/>
              <w:left w:val="nil"/>
              <w:bottom w:val="single" w:sz="4" w:space="0" w:color="auto"/>
              <w:right w:val="single" w:sz="4" w:space="0" w:color="auto"/>
            </w:tcBorders>
            <w:shd w:val="clear" w:color="auto" w:fill="auto"/>
            <w:noWrap/>
            <w:vAlign w:val="bottom"/>
            <w:hideMark/>
          </w:tcPr>
          <w:p w:rsidR="00E90AB3" w:rsidRPr="00E90AB3" w:rsidRDefault="00E90AB3" w:rsidP="00E90AB3">
            <w:pPr>
              <w:spacing w:after="0" w:line="240" w:lineRule="auto"/>
              <w:jc w:val="right"/>
              <w:rPr>
                <w:rFonts w:ascii="Calibri" w:eastAsia="Times New Roman" w:hAnsi="Calibri" w:cs="Calibri"/>
                <w:b/>
                <w:bCs/>
                <w:color w:val="000000"/>
                <w:sz w:val="24"/>
                <w:szCs w:val="24"/>
              </w:rPr>
            </w:pPr>
          </w:p>
        </w:tc>
        <w:tc>
          <w:tcPr>
            <w:tcW w:w="822" w:type="dxa"/>
            <w:tcBorders>
              <w:top w:val="nil"/>
              <w:left w:val="single" w:sz="4" w:space="0" w:color="auto"/>
              <w:bottom w:val="single" w:sz="4" w:space="0" w:color="auto"/>
              <w:right w:val="nil"/>
            </w:tcBorders>
            <w:shd w:val="clear" w:color="auto" w:fill="auto"/>
            <w:vAlign w:val="bottom"/>
          </w:tcPr>
          <w:p w:rsidR="00E90AB3" w:rsidRPr="00D52069" w:rsidRDefault="00E90AB3" w:rsidP="00E90AB3">
            <w:pPr>
              <w:spacing w:after="0" w:line="240" w:lineRule="auto"/>
              <w:jc w:val="right"/>
              <w:rPr>
                <w:rFonts w:ascii="Calibri" w:eastAsia="Times New Roman" w:hAnsi="Calibri" w:cs="Calibri"/>
                <w:b/>
                <w:bCs/>
                <w:color w:val="000000"/>
                <w:sz w:val="24"/>
                <w:szCs w:val="24"/>
              </w:rPr>
            </w:pPr>
            <w:r w:rsidRPr="00E90AB3">
              <w:rPr>
                <w:rFonts w:ascii="Calibri" w:eastAsia="Times New Roman" w:hAnsi="Calibri" w:cs="Calibri"/>
                <w:b/>
                <w:bCs/>
                <w:color w:val="000000"/>
                <w:sz w:val="24"/>
                <w:szCs w:val="24"/>
              </w:rPr>
              <w:t>2017</w:t>
            </w:r>
          </w:p>
        </w:tc>
        <w:tc>
          <w:tcPr>
            <w:tcW w:w="263" w:type="dxa"/>
            <w:tcBorders>
              <w:top w:val="nil"/>
              <w:left w:val="nil"/>
              <w:bottom w:val="single" w:sz="4" w:space="0" w:color="auto"/>
              <w:right w:val="single" w:sz="4" w:space="0" w:color="auto"/>
            </w:tcBorders>
            <w:shd w:val="clear" w:color="auto" w:fill="auto"/>
            <w:noWrap/>
            <w:vAlign w:val="bottom"/>
            <w:hideMark/>
          </w:tcPr>
          <w:p w:rsidR="00E90AB3" w:rsidRPr="00E90AB3" w:rsidRDefault="00E90AB3" w:rsidP="00E90AB3">
            <w:pPr>
              <w:spacing w:after="0" w:line="240" w:lineRule="auto"/>
              <w:jc w:val="right"/>
              <w:rPr>
                <w:rFonts w:ascii="Calibri" w:eastAsia="Times New Roman" w:hAnsi="Calibri" w:cs="Calibri"/>
                <w:b/>
                <w:bCs/>
                <w:color w:val="000000"/>
                <w:sz w:val="24"/>
                <w:szCs w:val="24"/>
              </w:rPr>
            </w:pPr>
          </w:p>
        </w:tc>
        <w:tc>
          <w:tcPr>
            <w:tcW w:w="697" w:type="dxa"/>
            <w:tcBorders>
              <w:top w:val="nil"/>
              <w:left w:val="single" w:sz="4" w:space="0" w:color="auto"/>
              <w:bottom w:val="single" w:sz="4" w:space="0" w:color="auto"/>
              <w:right w:val="nil"/>
            </w:tcBorders>
            <w:shd w:val="clear" w:color="auto" w:fill="auto"/>
            <w:vAlign w:val="bottom"/>
          </w:tcPr>
          <w:p w:rsidR="00E90AB3" w:rsidRPr="00D52069" w:rsidRDefault="00E90AB3" w:rsidP="00E90AB3">
            <w:pPr>
              <w:spacing w:after="0" w:line="240" w:lineRule="auto"/>
              <w:jc w:val="right"/>
              <w:rPr>
                <w:rFonts w:ascii="Calibri" w:eastAsia="Times New Roman" w:hAnsi="Calibri" w:cs="Calibri"/>
                <w:b/>
                <w:bCs/>
                <w:color w:val="000000"/>
                <w:sz w:val="24"/>
                <w:szCs w:val="24"/>
              </w:rPr>
            </w:pPr>
            <w:r w:rsidRPr="00E90AB3">
              <w:rPr>
                <w:rFonts w:ascii="Calibri" w:eastAsia="Times New Roman" w:hAnsi="Calibri" w:cs="Calibri"/>
                <w:b/>
                <w:bCs/>
                <w:color w:val="000000"/>
                <w:sz w:val="24"/>
                <w:szCs w:val="24"/>
              </w:rPr>
              <w:t>2016</w:t>
            </w:r>
          </w:p>
        </w:tc>
        <w:tc>
          <w:tcPr>
            <w:tcW w:w="236" w:type="dxa"/>
            <w:tcBorders>
              <w:top w:val="nil"/>
              <w:left w:val="nil"/>
              <w:bottom w:val="single" w:sz="4" w:space="0" w:color="auto"/>
              <w:right w:val="single" w:sz="4" w:space="0" w:color="auto"/>
            </w:tcBorders>
            <w:shd w:val="clear" w:color="auto" w:fill="auto"/>
            <w:noWrap/>
            <w:vAlign w:val="bottom"/>
            <w:hideMark/>
          </w:tcPr>
          <w:p w:rsidR="00E90AB3" w:rsidRPr="00E90AB3" w:rsidRDefault="00E90AB3" w:rsidP="00E90AB3">
            <w:pPr>
              <w:spacing w:after="0" w:line="240" w:lineRule="auto"/>
              <w:jc w:val="right"/>
              <w:rPr>
                <w:rFonts w:ascii="Calibri" w:eastAsia="Times New Roman" w:hAnsi="Calibri" w:cs="Calibri"/>
                <w:b/>
                <w:bCs/>
                <w:color w:val="000000"/>
                <w:sz w:val="24"/>
                <w:szCs w:val="24"/>
              </w:rPr>
            </w:pPr>
          </w:p>
        </w:tc>
        <w:tc>
          <w:tcPr>
            <w:tcW w:w="860" w:type="dxa"/>
            <w:tcBorders>
              <w:top w:val="nil"/>
              <w:left w:val="single" w:sz="4" w:space="0" w:color="auto"/>
              <w:bottom w:val="single" w:sz="4" w:space="0" w:color="auto"/>
              <w:right w:val="nil"/>
            </w:tcBorders>
            <w:shd w:val="clear" w:color="auto" w:fill="auto"/>
            <w:vAlign w:val="bottom"/>
          </w:tcPr>
          <w:p w:rsidR="00E90AB3" w:rsidRPr="00D52069" w:rsidRDefault="00E90AB3" w:rsidP="00E90AB3">
            <w:pPr>
              <w:spacing w:after="0" w:line="240" w:lineRule="auto"/>
              <w:jc w:val="right"/>
              <w:rPr>
                <w:rFonts w:ascii="Calibri" w:eastAsia="Times New Roman" w:hAnsi="Calibri" w:cs="Calibri"/>
                <w:b/>
                <w:bCs/>
                <w:color w:val="000000"/>
                <w:sz w:val="24"/>
                <w:szCs w:val="24"/>
              </w:rPr>
            </w:pPr>
            <w:r w:rsidRPr="00E90AB3">
              <w:rPr>
                <w:rFonts w:ascii="Calibri" w:eastAsia="Times New Roman" w:hAnsi="Calibri" w:cs="Calibri"/>
                <w:b/>
                <w:bCs/>
                <w:color w:val="000000"/>
                <w:sz w:val="24"/>
                <w:szCs w:val="24"/>
              </w:rPr>
              <w:t>2015</w:t>
            </w:r>
          </w:p>
        </w:tc>
        <w:tc>
          <w:tcPr>
            <w:tcW w:w="275" w:type="dxa"/>
            <w:tcBorders>
              <w:top w:val="nil"/>
              <w:left w:val="nil"/>
              <w:bottom w:val="single" w:sz="4" w:space="0" w:color="auto"/>
              <w:right w:val="single" w:sz="4" w:space="0" w:color="auto"/>
            </w:tcBorders>
            <w:shd w:val="clear" w:color="auto" w:fill="auto"/>
            <w:noWrap/>
            <w:vAlign w:val="bottom"/>
            <w:hideMark/>
          </w:tcPr>
          <w:p w:rsidR="00E90AB3" w:rsidRPr="00E90AB3" w:rsidRDefault="00E90AB3" w:rsidP="00E90AB3">
            <w:pPr>
              <w:spacing w:after="0" w:line="240" w:lineRule="auto"/>
              <w:jc w:val="right"/>
              <w:rPr>
                <w:rFonts w:ascii="Calibri" w:eastAsia="Times New Roman" w:hAnsi="Calibri" w:cs="Calibri"/>
                <w:b/>
                <w:bCs/>
                <w:color w:val="000000"/>
                <w:sz w:val="24"/>
                <w:szCs w:val="24"/>
              </w:rPr>
            </w:pPr>
          </w:p>
        </w:tc>
        <w:tc>
          <w:tcPr>
            <w:tcW w:w="685" w:type="dxa"/>
            <w:tcBorders>
              <w:top w:val="nil"/>
              <w:left w:val="single" w:sz="4" w:space="0" w:color="auto"/>
              <w:bottom w:val="single" w:sz="4" w:space="0" w:color="auto"/>
              <w:right w:val="nil"/>
            </w:tcBorders>
            <w:shd w:val="clear" w:color="auto" w:fill="auto"/>
            <w:vAlign w:val="bottom"/>
          </w:tcPr>
          <w:p w:rsidR="00E90AB3" w:rsidRPr="00D52069" w:rsidRDefault="00E90AB3" w:rsidP="00E90AB3">
            <w:pPr>
              <w:spacing w:after="0" w:line="240" w:lineRule="auto"/>
              <w:jc w:val="right"/>
              <w:rPr>
                <w:rFonts w:ascii="Calibri" w:eastAsia="Times New Roman" w:hAnsi="Calibri" w:cs="Calibri"/>
                <w:b/>
                <w:bCs/>
                <w:color w:val="000000"/>
                <w:sz w:val="24"/>
                <w:szCs w:val="24"/>
              </w:rPr>
            </w:pPr>
            <w:r w:rsidRPr="00E90AB3">
              <w:rPr>
                <w:rFonts w:ascii="Calibri" w:eastAsia="Times New Roman" w:hAnsi="Calibri" w:cs="Calibri"/>
                <w:b/>
                <w:bCs/>
                <w:color w:val="000000"/>
                <w:sz w:val="24"/>
                <w:szCs w:val="24"/>
              </w:rPr>
              <w:t>2014</w:t>
            </w:r>
          </w:p>
        </w:tc>
      </w:tr>
      <w:tr w:rsidR="00E90AB3" w:rsidRPr="00D52069" w:rsidTr="00E90AB3">
        <w:trPr>
          <w:trHeight w:val="288"/>
        </w:trPr>
        <w:tc>
          <w:tcPr>
            <w:tcW w:w="3700" w:type="dxa"/>
            <w:tcBorders>
              <w:top w:val="single" w:sz="4" w:space="0" w:color="auto"/>
              <w:left w:val="nil"/>
              <w:bottom w:val="nil"/>
              <w:right w:val="single" w:sz="4" w:space="0" w:color="auto"/>
            </w:tcBorders>
            <w:shd w:val="clear" w:color="auto" w:fill="auto"/>
            <w:noWrap/>
            <w:vAlign w:val="bottom"/>
            <w:hideMark/>
          </w:tcPr>
          <w:p w:rsidR="00E90AB3" w:rsidRPr="00E90AB3" w:rsidRDefault="00E90AB3" w:rsidP="00E90AB3">
            <w:pPr>
              <w:spacing w:after="0" w:line="240" w:lineRule="auto"/>
              <w:rPr>
                <w:rFonts w:ascii="Calibri" w:eastAsia="Times New Roman" w:hAnsi="Calibri" w:cs="Calibri"/>
                <w:color w:val="000000"/>
                <w:sz w:val="24"/>
                <w:szCs w:val="24"/>
              </w:rPr>
            </w:pPr>
            <w:r w:rsidRPr="00E90AB3">
              <w:rPr>
                <w:rFonts w:ascii="Calibri" w:eastAsia="Times New Roman" w:hAnsi="Calibri" w:cs="Calibri"/>
                <w:color w:val="000000"/>
                <w:sz w:val="24"/>
                <w:szCs w:val="24"/>
              </w:rPr>
              <w:t>Dividend Yield %</w:t>
            </w:r>
          </w:p>
        </w:tc>
        <w:tc>
          <w:tcPr>
            <w:tcW w:w="980" w:type="dxa"/>
            <w:tcBorders>
              <w:top w:val="single" w:sz="4" w:space="0" w:color="auto"/>
              <w:left w:val="single" w:sz="4" w:space="0" w:color="auto"/>
              <w:bottom w:val="nil"/>
              <w:right w:val="nil"/>
            </w:tcBorders>
            <w:shd w:val="clear" w:color="auto" w:fill="auto"/>
            <w:noWrap/>
            <w:vAlign w:val="bottom"/>
            <w:hideMark/>
          </w:tcPr>
          <w:p w:rsidR="00E90AB3" w:rsidRPr="00E90AB3" w:rsidRDefault="00E90AB3" w:rsidP="00E90AB3">
            <w:pPr>
              <w:spacing w:after="0" w:line="240" w:lineRule="auto"/>
              <w:jc w:val="right"/>
              <w:rPr>
                <w:rFonts w:ascii="Calibri" w:eastAsia="Times New Roman" w:hAnsi="Calibri" w:cs="Calibri"/>
                <w:b/>
                <w:bCs/>
                <w:color w:val="000000"/>
                <w:sz w:val="24"/>
                <w:szCs w:val="24"/>
              </w:rPr>
            </w:pPr>
            <w:r w:rsidRPr="00E90AB3">
              <w:rPr>
                <w:rFonts w:ascii="Calibri" w:eastAsia="Times New Roman" w:hAnsi="Calibri" w:cs="Calibri"/>
                <w:b/>
                <w:bCs/>
                <w:color w:val="000000"/>
                <w:sz w:val="24"/>
                <w:szCs w:val="24"/>
              </w:rPr>
              <w:t>7.02</w:t>
            </w:r>
          </w:p>
        </w:tc>
        <w:tc>
          <w:tcPr>
            <w:tcW w:w="236" w:type="dxa"/>
            <w:tcBorders>
              <w:top w:val="single" w:sz="4" w:space="0" w:color="auto"/>
              <w:left w:val="nil"/>
              <w:bottom w:val="nil"/>
              <w:right w:val="single" w:sz="4" w:space="0" w:color="auto"/>
            </w:tcBorders>
            <w:shd w:val="clear" w:color="auto" w:fill="auto"/>
            <w:noWrap/>
            <w:vAlign w:val="bottom"/>
            <w:hideMark/>
          </w:tcPr>
          <w:p w:rsidR="00E90AB3" w:rsidRPr="00E90AB3" w:rsidRDefault="00E90AB3" w:rsidP="00E90AB3">
            <w:pPr>
              <w:spacing w:after="0" w:line="240" w:lineRule="auto"/>
              <w:jc w:val="right"/>
              <w:rPr>
                <w:rFonts w:ascii="Calibri" w:eastAsia="Times New Roman" w:hAnsi="Calibri" w:cs="Calibri"/>
                <w:b/>
                <w:bCs/>
                <w:color w:val="000000"/>
                <w:sz w:val="24"/>
                <w:szCs w:val="24"/>
              </w:rPr>
            </w:pPr>
          </w:p>
        </w:tc>
        <w:tc>
          <w:tcPr>
            <w:tcW w:w="822" w:type="dxa"/>
            <w:tcBorders>
              <w:top w:val="single" w:sz="4" w:space="0" w:color="auto"/>
              <w:left w:val="single" w:sz="4" w:space="0" w:color="auto"/>
              <w:bottom w:val="nil"/>
              <w:right w:val="nil"/>
            </w:tcBorders>
            <w:shd w:val="clear" w:color="auto" w:fill="auto"/>
            <w:vAlign w:val="bottom"/>
          </w:tcPr>
          <w:p w:rsidR="00E90AB3" w:rsidRPr="00D52069" w:rsidRDefault="00E90AB3" w:rsidP="00E90AB3">
            <w:pPr>
              <w:spacing w:after="0" w:line="240" w:lineRule="auto"/>
              <w:jc w:val="right"/>
              <w:rPr>
                <w:rFonts w:ascii="Calibri" w:eastAsia="Times New Roman" w:hAnsi="Calibri" w:cs="Calibri"/>
                <w:b/>
                <w:bCs/>
                <w:color w:val="000000"/>
                <w:sz w:val="24"/>
                <w:szCs w:val="24"/>
              </w:rPr>
            </w:pPr>
            <w:r w:rsidRPr="00E90AB3">
              <w:rPr>
                <w:rFonts w:ascii="Calibri" w:eastAsia="Times New Roman" w:hAnsi="Calibri" w:cs="Calibri"/>
                <w:b/>
                <w:bCs/>
                <w:color w:val="000000"/>
                <w:sz w:val="24"/>
                <w:szCs w:val="24"/>
              </w:rPr>
              <w:t>6.2</w:t>
            </w:r>
          </w:p>
        </w:tc>
        <w:tc>
          <w:tcPr>
            <w:tcW w:w="263" w:type="dxa"/>
            <w:tcBorders>
              <w:top w:val="single" w:sz="4" w:space="0" w:color="auto"/>
              <w:left w:val="nil"/>
              <w:bottom w:val="nil"/>
              <w:right w:val="single" w:sz="4" w:space="0" w:color="auto"/>
            </w:tcBorders>
            <w:shd w:val="clear" w:color="auto" w:fill="auto"/>
            <w:noWrap/>
            <w:vAlign w:val="bottom"/>
            <w:hideMark/>
          </w:tcPr>
          <w:p w:rsidR="00E90AB3" w:rsidRPr="00E90AB3" w:rsidRDefault="00E90AB3" w:rsidP="00E90AB3">
            <w:pPr>
              <w:spacing w:after="0" w:line="240" w:lineRule="auto"/>
              <w:jc w:val="right"/>
              <w:rPr>
                <w:rFonts w:ascii="Calibri" w:eastAsia="Times New Roman" w:hAnsi="Calibri" w:cs="Calibri"/>
                <w:b/>
                <w:bCs/>
                <w:color w:val="000000"/>
                <w:sz w:val="24"/>
                <w:szCs w:val="24"/>
              </w:rPr>
            </w:pPr>
          </w:p>
        </w:tc>
        <w:tc>
          <w:tcPr>
            <w:tcW w:w="697" w:type="dxa"/>
            <w:tcBorders>
              <w:top w:val="single" w:sz="4" w:space="0" w:color="auto"/>
              <w:left w:val="single" w:sz="4" w:space="0" w:color="auto"/>
              <w:bottom w:val="nil"/>
              <w:right w:val="nil"/>
            </w:tcBorders>
            <w:shd w:val="clear" w:color="auto" w:fill="auto"/>
            <w:vAlign w:val="bottom"/>
          </w:tcPr>
          <w:p w:rsidR="00E90AB3" w:rsidRPr="00D52069" w:rsidRDefault="00E90AB3" w:rsidP="00E90AB3">
            <w:pPr>
              <w:spacing w:after="0" w:line="240" w:lineRule="auto"/>
              <w:jc w:val="right"/>
              <w:rPr>
                <w:rFonts w:ascii="Calibri" w:eastAsia="Times New Roman" w:hAnsi="Calibri" w:cs="Calibri"/>
                <w:b/>
                <w:bCs/>
                <w:color w:val="000000"/>
                <w:sz w:val="24"/>
                <w:szCs w:val="24"/>
              </w:rPr>
            </w:pPr>
            <w:r w:rsidRPr="00E90AB3">
              <w:rPr>
                <w:rFonts w:ascii="Calibri" w:eastAsia="Times New Roman" w:hAnsi="Calibri" w:cs="Calibri"/>
                <w:b/>
                <w:bCs/>
                <w:color w:val="000000"/>
                <w:sz w:val="24"/>
                <w:szCs w:val="24"/>
              </w:rPr>
              <w:t>9.04</w:t>
            </w:r>
          </w:p>
        </w:tc>
        <w:tc>
          <w:tcPr>
            <w:tcW w:w="236" w:type="dxa"/>
            <w:tcBorders>
              <w:top w:val="single" w:sz="4" w:space="0" w:color="auto"/>
              <w:left w:val="nil"/>
              <w:bottom w:val="nil"/>
              <w:right w:val="single" w:sz="4" w:space="0" w:color="auto"/>
            </w:tcBorders>
            <w:shd w:val="clear" w:color="auto" w:fill="auto"/>
            <w:noWrap/>
            <w:vAlign w:val="bottom"/>
            <w:hideMark/>
          </w:tcPr>
          <w:p w:rsidR="00E90AB3" w:rsidRPr="00E90AB3" w:rsidRDefault="00E90AB3" w:rsidP="00E90AB3">
            <w:pPr>
              <w:spacing w:after="0" w:line="240" w:lineRule="auto"/>
              <w:jc w:val="right"/>
              <w:rPr>
                <w:rFonts w:ascii="Calibri" w:eastAsia="Times New Roman" w:hAnsi="Calibri" w:cs="Calibri"/>
                <w:b/>
                <w:bCs/>
                <w:color w:val="000000"/>
                <w:sz w:val="24"/>
                <w:szCs w:val="24"/>
              </w:rPr>
            </w:pPr>
          </w:p>
        </w:tc>
        <w:tc>
          <w:tcPr>
            <w:tcW w:w="860" w:type="dxa"/>
            <w:tcBorders>
              <w:top w:val="single" w:sz="4" w:space="0" w:color="auto"/>
              <w:left w:val="single" w:sz="4" w:space="0" w:color="auto"/>
              <w:bottom w:val="nil"/>
              <w:right w:val="nil"/>
            </w:tcBorders>
            <w:shd w:val="clear" w:color="auto" w:fill="auto"/>
            <w:vAlign w:val="bottom"/>
          </w:tcPr>
          <w:p w:rsidR="00E90AB3" w:rsidRPr="00D52069" w:rsidRDefault="00E90AB3" w:rsidP="00E90AB3">
            <w:pPr>
              <w:spacing w:after="0" w:line="240" w:lineRule="auto"/>
              <w:jc w:val="right"/>
              <w:rPr>
                <w:rFonts w:ascii="Calibri" w:eastAsia="Times New Roman" w:hAnsi="Calibri" w:cs="Calibri"/>
                <w:b/>
                <w:bCs/>
                <w:color w:val="000000"/>
                <w:sz w:val="24"/>
                <w:szCs w:val="24"/>
              </w:rPr>
            </w:pPr>
            <w:r w:rsidRPr="00E90AB3">
              <w:rPr>
                <w:rFonts w:ascii="Calibri" w:eastAsia="Times New Roman" w:hAnsi="Calibri" w:cs="Calibri"/>
                <w:b/>
                <w:bCs/>
                <w:color w:val="000000"/>
                <w:sz w:val="24"/>
                <w:szCs w:val="24"/>
              </w:rPr>
              <w:t>8.29</w:t>
            </w:r>
          </w:p>
        </w:tc>
        <w:tc>
          <w:tcPr>
            <w:tcW w:w="275" w:type="dxa"/>
            <w:tcBorders>
              <w:top w:val="single" w:sz="4" w:space="0" w:color="auto"/>
              <w:left w:val="nil"/>
              <w:bottom w:val="nil"/>
              <w:right w:val="single" w:sz="4" w:space="0" w:color="auto"/>
            </w:tcBorders>
            <w:shd w:val="clear" w:color="auto" w:fill="auto"/>
            <w:noWrap/>
            <w:vAlign w:val="bottom"/>
            <w:hideMark/>
          </w:tcPr>
          <w:p w:rsidR="00E90AB3" w:rsidRPr="00E90AB3" w:rsidRDefault="00E90AB3" w:rsidP="00E90AB3">
            <w:pPr>
              <w:spacing w:after="0" w:line="240" w:lineRule="auto"/>
              <w:jc w:val="right"/>
              <w:rPr>
                <w:rFonts w:ascii="Calibri" w:eastAsia="Times New Roman" w:hAnsi="Calibri" w:cs="Calibri"/>
                <w:b/>
                <w:bCs/>
                <w:color w:val="000000"/>
                <w:sz w:val="24"/>
                <w:szCs w:val="24"/>
              </w:rPr>
            </w:pPr>
          </w:p>
        </w:tc>
        <w:tc>
          <w:tcPr>
            <w:tcW w:w="685" w:type="dxa"/>
            <w:tcBorders>
              <w:top w:val="single" w:sz="4" w:space="0" w:color="auto"/>
              <w:left w:val="single" w:sz="4" w:space="0" w:color="auto"/>
              <w:bottom w:val="nil"/>
              <w:right w:val="nil"/>
            </w:tcBorders>
            <w:shd w:val="clear" w:color="auto" w:fill="auto"/>
            <w:vAlign w:val="bottom"/>
          </w:tcPr>
          <w:p w:rsidR="00E90AB3" w:rsidRPr="00D52069" w:rsidRDefault="00E90AB3" w:rsidP="00E90AB3">
            <w:pPr>
              <w:spacing w:after="0" w:line="240" w:lineRule="auto"/>
              <w:jc w:val="right"/>
              <w:rPr>
                <w:rFonts w:ascii="Calibri" w:eastAsia="Times New Roman" w:hAnsi="Calibri" w:cs="Calibri"/>
                <w:b/>
                <w:bCs/>
                <w:color w:val="000000"/>
                <w:sz w:val="24"/>
                <w:szCs w:val="24"/>
              </w:rPr>
            </w:pPr>
            <w:r w:rsidRPr="00E90AB3">
              <w:rPr>
                <w:rFonts w:ascii="Calibri" w:eastAsia="Times New Roman" w:hAnsi="Calibri" w:cs="Calibri"/>
                <w:b/>
                <w:bCs/>
                <w:color w:val="000000"/>
                <w:sz w:val="24"/>
                <w:szCs w:val="24"/>
              </w:rPr>
              <w:t>7.65</w:t>
            </w:r>
          </w:p>
        </w:tc>
      </w:tr>
    </w:tbl>
    <w:p w:rsidR="00964D6B" w:rsidRPr="00D52069" w:rsidRDefault="00964D6B" w:rsidP="008A1A78">
      <w:pPr>
        <w:jc w:val="both"/>
        <w:rPr>
          <w:sz w:val="24"/>
          <w:szCs w:val="24"/>
        </w:rPr>
      </w:pPr>
    </w:p>
    <w:p w:rsidR="00964D6B" w:rsidRPr="00D52069" w:rsidRDefault="00E90AB3" w:rsidP="008A1A78">
      <w:pPr>
        <w:jc w:val="both"/>
        <w:rPr>
          <w:sz w:val="24"/>
          <w:szCs w:val="24"/>
        </w:rPr>
      </w:pPr>
      <w:r w:rsidRPr="00D52069">
        <w:rPr>
          <w:sz w:val="24"/>
          <w:szCs w:val="24"/>
        </w:rPr>
        <w:t>Dividend Yield shows the amount it gives out in dividends each year compared to its stock price. With Dividend Yield investors can measure their earning on investment in stocks.</w:t>
      </w:r>
    </w:p>
    <w:p w:rsidR="00E90AB3" w:rsidRPr="00D52069" w:rsidRDefault="00E90AB3" w:rsidP="008A1A78">
      <w:pPr>
        <w:jc w:val="both"/>
        <w:rPr>
          <w:sz w:val="24"/>
          <w:szCs w:val="24"/>
        </w:rPr>
      </w:pPr>
      <w:r w:rsidRPr="00D52069">
        <w:rPr>
          <w:sz w:val="24"/>
          <w:szCs w:val="24"/>
        </w:rPr>
        <w:t>Dividend Yield = Annual Dividend / Current Stock Price</w:t>
      </w:r>
    </w:p>
    <w:p w:rsidR="002D5FE1" w:rsidRDefault="00E90AB3" w:rsidP="008A1A78">
      <w:pPr>
        <w:jc w:val="both"/>
        <w:rPr>
          <w:sz w:val="24"/>
          <w:szCs w:val="24"/>
        </w:rPr>
      </w:pPr>
      <w:r w:rsidRPr="00D52069">
        <w:rPr>
          <w:sz w:val="24"/>
          <w:szCs w:val="24"/>
        </w:rPr>
        <w:t>In 2016 PBL had high dividend ratio compared to other years which means PBL paid its investors large dividend compared to the fair market value of stock.</w:t>
      </w:r>
      <w:r w:rsidR="005564F1" w:rsidRPr="00D52069">
        <w:rPr>
          <w:sz w:val="24"/>
          <w:szCs w:val="24"/>
        </w:rPr>
        <w:t xml:space="preserve"> In 2018 Dividend Yield was 7.02 % compared to 6.2 % in previous year.</w:t>
      </w:r>
    </w:p>
    <w:p w:rsidR="00926F5C" w:rsidRPr="009577C4" w:rsidRDefault="002D5FE1" w:rsidP="009577C4">
      <w:pPr>
        <w:jc w:val="both"/>
        <w:rPr>
          <w:sz w:val="24"/>
          <w:szCs w:val="24"/>
        </w:rPr>
      </w:pPr>
      <w:r>
        <w:rPr>
          <w:sz w:val="24"/>
          <w:szCs w:val="24"/>
        </w:rPr>
        <w:br w:type="page"/>
      </w:r>
    </w:p>
    <w:p w:rsidR="002D5FE1" w:rsidRPr="00821248" w:rsidRDefault="00F135D5" w:rsidP="002D5FE1">
      <w:pPr>
        <w:rPr>
          <w:b/>
          <w:sz w:val="36"/>
          <w:szCs w:val="36"/>
        </w:rPr>
      </w:pPr>
      <w:r>
        <w:rPr>
          <w:b/>
          <w:sz w:val="36"/>
          <w:szCs w:val="36"/>
        </w:rPr>
        <w:lastRenderedPageBreak/>
        <w:t>4</w:t>
      </w:r>
      <w:r w:rsidR="00127653">
        <w:rPr>
          <w:b/>
          <w:sz w:val="36"/>
          <w:szCs w:val="36"/>
        </w:rPr>
        <w:t xml:space="preserve">. </w:t>
      </w:r>
      <w:r w:rsidR="00BE0962">
        <w:rPr>
          <w:b/>
          <w:sz w:val="36"/>
          <w:szCs w:val="36"/>
        </w:rPr>
        <w:t>DuPont Three</w:t>
      </w:r>
      <w:r w:rsidR="002D5FE1" w:rsidRPr="00821248">
        <w:rPr>
          <w:b/>
          <w:sz w:val="36"/>
          <w:szCs w:val="36"/>
        </w:rPr>
        <w:t xml:space="preserve"> </w:t>
      </w:r>
      <w:r w:rsidR="00BE0962">
        <w:rPr>
          <w:b/>
          <w:sz w:val="36"/>
          <w:szCs w:val="36"/>
        </w:rPr>
        <w:t>Component</w:t>
      </w:r>
      <w:r w:rsidR="002D5FE1" w:rsidRPr="00821248">
        <w:rPr>
          <w:b/>
          <w:sz w:val="36"/>
          <w:szCs w:val="36"/>
        </w:rPr>
        <w:t xml:space="preserve"> Analysis</w:t>
      </w:r>
    </w:p>
    <w:p w:rsidR="002D5FE1" w:rsidRPr="002D5FE1" w:rsidRDefault="002D5FE1" w:rsidP="008A1A78">
      <w:pPr>
        <w:jc w:val="both"/>
        <w:rPr>
          <w:sz w:val="24"/>
          <w:szCs w:val="24"/>
        </w:rPr>
      </w:pPr>
      <w:r w:rsidRPr="002D5FE1">
        <w:rPr>
          <w:sz w:val="24"/>
          <w:szCs w:val="24"/>
        </w:rPr>
        <w:t>DuPont analysis is a way of mathematical breakdown that shows further understanding into components that drive a firm's return on equity or ROE. ROE is a measure of corporate profitability more precisely how successful a company is in managing its assets to acquire profits. Return on Equity is expressed in percentage and requires that a company has both positive net income and equity.</w:t>
      </w:r>
    </w:p>
    <w:p w:rsidR="002D5FE1" w:rsidRPr="002D5FE1" w:rsidRDefault="008A1A78" w:rsidP="008A1A78">
      <w:pPr>
        <w:jc w:val="both"/>
        <w:rPr>
          <w:sz w:val="24"/>
          <w:szCs w:val="24"/>
        </w:rPr>
      </w:pPr>
      <w:r>
        <w:rPr>
          <w:sz w:val="24"/>
          <w:szCs w:val="24"/>
        </w:rPr>
        <w:t>The three component</w:t>
      </w:r>
      <w:r w:rsidR="002D5FE1" w:rsidRPr="002D5FE1">
        <w:rPr>
          <w:sz w:val="24"/>
          <w:szCs w:val="24"/>
        </w:rPr>
        <w:t xml:space="preserve"> DuPont </w:t>
      </w:r>
      <w:r>
        <w:rPr>
          <w:sz w:val="24"/>
          <w:szCs w:val="24"/>
        </w:rPr>
        <w:t>breakdowns are:</w:t>
      </w:r>
      <w:r w:rsidR="002D5FE1" w:rsidRPr="002D5FE1">
        <w:rPr>
          <w:sz w:val="24"/>
          <w:szCs w:val="24"/>
        </w:rPr>
        <w:t xml:space="preserve"> profit margin, total asset turnover and financial leverage. The formula can be explained as net profit divided by net revenue, net revenue divided by total assets and lastly total assets divided by shareholder's equity.</w:t>
      </w:r>
    </w:p>
    <w:p w:rsidR="00E90AB3" w:rsidRDefault="008A1A78" w:rsidP="008A1A78">
      <w:pPr>
        <w:jc w:val="both"/>
        <w:rPr>
          <w:sz w:val="24"/>
          <w:szCs w:val="24"/>
        </w:rPr>
      </w:pPr>
      <w:r>
        <w:rPr>
          <w:sz w:val="24"/>
          <w:szCs w:val="24"/>
        </w:rPr>
        <w:t xml:space="preserve">It allows </w:t>
      </w:r>
      <w:r w:rsidR="009577C4">
        <w:rPr>
          <w:sz w:val="24"/>
          <w:szCs w:val="24"/>
        </w:rPr>
        <w:t>identifying</w:t>
      </w:r>
      <w:r>
        <w:rPr>
          <w:sz w:val="24"/>
          <w:szCs w:val="24"/>
        </w:rPr>
        <w:t xml:space="preserve"> the component that has contribution to firm’s return on equity.</w:t>
      </w:r>
    </w:p>
    <w:p w:rsidR="002D5FE1" w:rsidRDefault="002D5FE1" w:rsidP="008A1A78">
      <w:pPr>
        <w:jc w:val="both"/>
        <w:rPr>
          <w:sz w:val="24"/>
          <w:szCs w:val="24"/>
        </w:rPr>
      </w:pPr>
      <w:r>
        <w:rPr>
          <w:sz w:val="24"/>
          <w:szCs w:val="24"/>
        </w:rPr>
        <w:t>Every one of these components can be found on the financial statements. Net Profit and net revenue is found on income statement of a company and total assets and total equity is found on balance sheet of a company.</w:t>
      </w:r>
    </w:p>
    <w:p w:rsidR="002D5FE1" w:rsidRDefault="002D5FE1" w:rsidP="008A1A78">
      <w:pPr>
        <w:jc w:val="both"/>
        <w:rPr>
          <w:sz w:val="24"/>
          <w:szCs w:val="24"/>
        </w:rPr>
      </w:pPr>
      <w:r>
        <w:rPr>
          <w:sz w:val="24"/>
          <w:szCs w:val="24"/>
        </w:rPr>
        <w:t xml:space="preserve">This model is useful to analyze ROE to compare different business performance and is very useful to investors. If </w:t>
      </w:r>
      <w:r w:rsidR="009577C4">
        <w:rPr>
          <w:sz w:val="24"/>
          <w:szCs w:val="24"/>
        </w:rPr>
        <w:t>an</w:t>
      </w:r>
      <w:r>
        <w:rPr>
          <w:sz w:val="24"/>
          <w:szCs w:val="24"/>
        </w:rPr>
        <w:t xml:space="preserve"> investor is not happy with a low ROE the management can use this model to spot the problem area whether it is lower profit margin or lower asset turnover or bad financial leverage. Once the problem component is identified company can try to correct and address it with investors or </w:t>
      </w:r>
      <w:r w:rsidR="008A1A78">
        <w:rPr>
          <w:sz w:val="24"/>
          <w:szCs w:val="24"/>
        </w:rPr>
        <w:t>shareholders</w:t>
      </w:r>
      <w:r>
        <w:rPr>
          <w:sz w:val="24"/>
          <w:szCs w:val="24"/>
        </w:rPr>
        <w:t xml:space="preserve">. It is to be noted that it is natural for a company to contain lower ROE in the beginning stage and is not </w:t>
      </w:r>
      <w:proofErr w:type="spellStart"/>
      <w:proofErr w:type="gramStart"/>
      <w:r>
        <w:rPr>
          <w:sz w:val="24"/>
          <w:szCs w:val="24"/>
        </w:rPr>
        <w:t>a</w:t>
      </w:r>
      <w:proofErr w:type="spellEnd"/>
      <w:proofErr w:type="gramEnd"/>
      <w:r>
        <w:rPr>
          <w:sz w:val="24"/>
          <w:szCs w:val="24"/>
        </w:rPr>
        <w:t xml:space="preserve"> alarming reason for investors.</w:t>
      </w:r>
    </w:p>
    <w:p w:rsidR="002D5FE1" w:rsidRDefault="002D5FE1" w:rsidP="002D5FE1">
      <w:pPr>
        <w:rPr>
          <w:sz w:val="24"/>
          <w:szCs w:val="24"/>
        </w:rPr>
      </w:pPr>
    </w:p>
    <w:p w:rsidR="00F94C75" w:rsidRDefault="00F94C75" w:rsidP="00F94C75">
      <w:pPr>
        <w:rPr>
          <w:sz w:val="24"/>
          <w:szCs w:val="24"/>
        </w:rPr>
      </w:pPr>
      <w:r>
        <w:rPr>
          <w:sz w:val="24"/>
          <w:szCs w:val="24"/>
        </w:rPr>
        <w:t>ROE = Net profit/Net revenue X Net Revenue/Total Assets X Total Assets/Shareholder’s Equity</w:t>
      </w:r>
    </w:p>
    <w:p w:rsidR="002D5FE1" w:rsidRDefault="00F94C75" w:rsidP="002D5FE1">
      <w:pPr>
        <w:rPr>
          <w:sz w:val="24"/>
          <w:szCs w:val="24"/>
        </w:rPr>
      </w:pPr>
      <w:r>
        <w:rPr>
          <w:sz w:val="24"/>
          <w:szCs w:val="24"/>
        </w:rPr>
        <w:t>Or</w:t>
      </w:r>
    </w:p>
    <w:p w:rsidR="00F94C75" w:rsidRDefault="00F94C75" w:rsidP="002D5FE1">
      <w:pPr>
        <w:rPr>
          <w:sz w:val="24"/>
          <w:szCs w:val="24"/>
        </w:rPr>
      </w:pPr>
      <w:r>
        <w:rPr>
          <w:sz w:val="24"/>
          <w:szCs w:val="24"/>
        </w:rPr>
        <w:t>ROE = Profitability</w:t>
      </w:r>
      <w:r w:rsidR="00404D2A">
        <w:rPr>
          <w:sz w:val="24"/>
          <w:szCs w:val="24"/>
        </w:rPr>
        <w:t xml:space="preserve"> ratio</w:t>
      </w:r>
      <w:r>
        <w:rPr>
          <w:sz w:val="24"/>
          <w:szCs w:val="24"/>
        </w:rPr>
        <w:t xml:space="preserve"> X Asset Turnover X Equity Multiplier</w:t>
      </w:r>
    </w:p>
    <w:p w:rsidR="002D5FE1" w:rsidRDefault="002D5FE1" w:rsidP="002D5FE1">
      <w:pPr>
        <w:rPr>
          <w:sz w:val="24"/>
          <w:szCs w:val="24"/>
        </w:rPr>
      </w:pPr>
    </w:p>
    <w:p w:rsidR="002D5FE1" w:rsidRDefault="002D5FE1" w:rsidP="002D5FE1">
      <w:pPr>
        <w:rPr>
          <w:sz w:val="24"/>
          <w:szCs w:val="24"/>
        </w:rPr>
      </w:pPr>
    </w:p>
    <w:p w:rsidR="002D5FE1" w:rsidRDefault="002D5FE1" w:rsidP="002D5FE1">
      <w:pPr>
        <w:rPr>
          <w:sz w:val="24"/>
          <w:szCs w:val="24"/>
        </w:rPr>
      </w:pPr>
    </w:p>
    <w:p w:rsidR="000F7DFF" w:rsidRDefault="000F7DFF" w:rsidP="002D5FE1">
      <w:pPr>
        <w:rPr>
          <w:sz w:val="24"/>
          <w:szCs w:val="24"/>
        </w:rPr>
      </w:pPr>
    </w:p>
    <w:p w:rsidR="002D5FE1" w:rsidRDefault="002D5FE1" w:rsidP="002D5FE1">
      <w:pPr>
        <w:rPr>
          <w:sz w:val="24"/>
          <w:szCs w:val="24"/>
        </w:rPr>
      </w:pPr>
    </w:p>
    <w:p w:rsidR="00B33F20" w:rsidRDefault="002D5FE1" w:rsidP="002D5FE1">
      <w:pPr>
        <w:rPr>
          <w:sz w:val="24"/>
          <w:szCs w:val="24"/>
        </w:rPr>
      </w:pPr>
      <w:r>
        <w:rPr>
          <w:sz w:val="24"/>
          <w:szCs w:val="24"/>
        </w:rPr>
        <w:lastRenderedPageBreak/>
        <w:t>Below we look closely on the 3 step DuPont Analysis on Prime Bank ltd</w:t>
      </w:r>
      <w:r w:rsidR="00B33F20">
        <w:rPr>
          <w:sz w:val="24"/>
          <w:szCs w:val="24"/>
        </w:rPr>
        <w:t>. We w</w:t>
      </w:r>
      <w:r w:rsidR="00351015">
        <w:rPr>
          <w:sz w:val="24"/>
          <w:szCs w:val="24"/>
        </w:rPr>
        <w:t>ill emphasize</w:t>
      </w:r>
      <w:r w:rsidR="002A2733">
        <w:rPr>
          <w:sz w:val="24"/>
          <w:szCs w:val="24"/>
        </w:rPr>
        <w:t xml:space="preserve"> the three components </w:t>
      </w:r>
      <w:r w:rsidR="002A5C88">
        <w:rPr>
          <w:sz w:val="24"/>
          <w:szCs w:val="24"/>
        </w:rPr>
        <w:t>below</w:t>
      </w:r>
    </w:p>
    <w:p w:rsidR="00B250DC" w:rsidRDefault="00B250DC" w:rsidP="002D5FE1">
      <w:pPr>
        <w:rPr>
          <w:sz w:val="24"/>
          <w:szCs w:val="24"/>
        </w:rPr>
      </w:pPr>
      <w:r>
        <w:rPr>
          <w:sz w:val="24"/>
          <w:szCs w:val="24"/>
        </w:rPr>
        <w:t>In the table we can see year-wise breakdown of ROE</w:t>
      </w:r>
    </w:p>
    <w:p w:rsidR="009F0BB9" w:rsidRPr="009F0BB9" w:rsidRDefault="009F0BB9" w:rsidP="002D5FE1">
      <w:pPr>
        <w:rPr>
          <w:b/>
          <w:sz w:val="24"/>
          <w:szCs w:val="24"/>
        </w:rPr>
      </w:pPr>
      <w:r w:rsidRPr="009F0BB9">
        <w:rPr>
          <w:b/>
          <w:sz w:val="24"/>
          <w:szCs w:val="24"/>
        </w:rPr>
        <w:t>Table DuPont 3 component Analysis</w:t>
      </w:r>
    </w:p>
    <w:tbl>
      <w:tblPr>
        <w:tblStyle w:val="TableGrid"/>
        <w:tblW w:w="0" w:type="auto"/>
        <w:tblLook w:val="04A0" w:firstRow="1" w:lastRow="0" w:firstColumn="1" w:lastColumn="0" w:noHBand="0" w:noVBand="1"/>
      </w:tblPr>
      <w:tblGrid>
        <w:gridCol w:w="3078"/>
        <w:gridCol w:w="1170"/>
        <w:gridCol w:w="1260"/>
        <w:gridCol w:w="1530"/>
        <w:gridCol w:w="1260"/>
        <w:gridCol w:w="1278"/>
      </w:tblGrid>
      <w:tr w:rsidR="00955C7D" w:rsidTr="00955C7D">
        <w:tc>
          <w:tcPr>
            <w:tcW w:w="3078" w:type="dxa"/>
          </w:tcPr>
          <w:p w:rsidR="00955C7D" w:rsidRPr="00821248" w:rsidRDefault="00955C7D" w:rsidP="00955C7D">
            <w:pPr>
              <w:rPr>
                <w:b/>
                <w:sz w:val="24"/>
                <w:szCs w:val="24"/>
              </w:rPr>
            </w:pPr>
            <w:r w:rsidRPr="00821248">
              <w:rPr>
                <w:b/>
                <w:sz w:val="24"/>
                <w:szCs w:val="24"/>
              </w:rPr>
              <w:t>Year</w:t>
            </w:r>
          </w:p>
        </w:tc>
        <w:tc>
          <w:tcPr>
            <w:tcW w:w="1170" w:type="dxa"/>
          </w:tcPr>
          <w:p w:rsidR="00955C7D" w:rsidRPr="00DE02C4" w:rsidRDefault="00955C7D" w:rsidP="00955C7D">
            <w:pPr>
              <w:rPr>
                <w:b/>
                <w:sz w:val="24"/>
                <w:szCs w:val="24"/>
              </w:rPr>
            </w:pPr>
            <w:r w:rsidRPr="00DE02C4">
              <w:rPr>
                <w:b/>
                <w:sz w:val="24"/>
                <w:szCs w:val="24"/>
              </w:rPr>
              <w:t>2014</w:t>
            </w:r>
          </w:p>
        </w:tc>
        <w:tc>
          <w:tcPr>
            <w:tcW w:w="1260" w:type="dxa"/>
          </w:tcPr>
          <w:p w:rsidR="00955C7D" w:rsidRPr="00DE02C4" w:rsidRDefault="00955C7D" w:rsidP="00955C7D">
            <w:pPr>
              <w:rPr>
                <w:b/>
                <w:sz w:val="24"/>
                <w:szCs w:val="24"/>
              </w:rPr>
            </w:pPr>
            <w:r w:rsidRPr="00DE02C4">
              <w:rPr>
                <w:b/>
                <w:sz w:val="24"/>
                <w:szCs w:val="24"/>
              </w:rPr>
              <w:t>2015</w:t>
            </w:r>
          </w:p>
        </w:tc>
        <w:tc>
          <w:tcPr>
            <w:tcW w:w="1530" w:type="dxa"/>
          </w:tcPr>
          <w:p w:rsidR="00955C7D" w:rsidRPr="00DE02C4" w:rsidRDefault="00955C7D" w:rsidP="00955C7D">
            <w:pPr>
              <w:rPr>
                <w:b/>
                <w:sz w:val="24"/>
                <w:szCs w:val="24"/>
              </w:rPr>
            </w:pPr>
            <w:r w:rsidRPr="00DE02C4">
              <w:rPr>
                <w:b/>
                <w:sz w:val="24"/>
                <w:szCs w:val="24"/>
              </w:rPr>
              <w:t>2016</w:t>
            </w:r>
          </w:p>
        </w:tc>
        <w:tc>
          <w:tcPr>
            <w:tcW w:w="1260" w:type="dxa"/>
          </w:tcPr>
          <w:p w:rsidR="00955C7D" w:rsidRPr="00DE02C4" w:rsidRDefault="00955C7D" w:rsidP="00955C7D">
            <w:pPr>
              <w:rPr>
                <w:b/>
                <w:sz w:val="24"/>
                <w:szCs w:val="24"/>
              </w:rPr>
            </w:pPr>
            <w:r w:rsidRPr="00DE02C4">
              <w:rPr>
                <w:b/>
                <w:sz w:val="24"/>
                <w:szCs w:val="24"/>
              </w:rPr>
              <w:t>2017</w:t>
            </w:r>
          </w:p>
        </w:tc>
        <w:tc>
          <w:tcPr>
            <w:tcW w:w="1278" w:type="dxa"/>
          </w:tcPr>
          <w:p w:rsidR="00955C7D" w:rsidRPr="00DE02C4" w:rsidRDefault="00955C7D" w:rsidP="00955C7D">
            <w:pPr>
              <w:rPr>
                <w:b/>
                <w:sz w:val="24"/>
                <w:szCs w:val="24"/>
              </w:rPr>
            </w:pPr>
            <w:r w:rsidRPr="00DE02C4">
              <w:rPr>
                <w:b/>
                <w:sz w:val="24"/>
                <w:szCs w:val="24"/>
              </w:rPr>
              <w:t>2018</w:t>
            </w:r>
          </w:p>
        </w:tc>
      </w:tr>
      <w:tr w:rsidR="00955C7D" w:rsidTr="00955C7D">
        <w:tc>
          <w:tcPr>
            <w:tcW w:w="3078" w:type="dxa"/>
          </w:tcPr>
          <w:p w:rsidR="00955C7D" w:rsidRPr="00821248" w:rsidRDefault="00955C7D" w:rsidP="00955C7D">
            <w:pPr>
              <w:rPr>
                <w:b/>
                <w:sz w:val="24"/>
                <w:szCs w:val="24"/>
              </w:rPr>
            </w:pPr>
            <w:r w:rsidRPr="00821248">
              <w:rPr>
                <w:b/>
                <w:sz w:val="24"/>
                <w:szCs w:val="24"/>
              </w:rPr>
              <w:t>Profit Turnover Ratio</w:t>
            </w:r>
          </w:p>
        </w:tc>
        <w:tc>
          <w:tcPr>
            <w:tcW w:w="1170" w:type="dxa"/>
          </w:tcPr>
          <w:p w:rsidR="00955C7D" w:rsidRDefault="00955C7D" w:rsidP="00955C7D">
            <w:pPr>
              <w:rPr>
                <w:sz w:val="24"/>
                <w:szCs w:val="24"/>
              </w:rPr>
            </w:pPr>
            <w:r>
              <w:rPr>
                <w:sz w:val="24"/>
                <w:szCs w:val="24"/>
              </w:rPr>
              <w:t>0.2009</w:t>
            </w:r>
            <w:r w:rsidR="00167F8B">
              <w:rPr>
                <w:sz w:val="24"/>
                <w:szCs w:val="24"/>
              </w:rPr>
              <w:t>9</w:t>
            </w:r>
          </w:p>
        </w:tc>
        <w:tc>
          <w:tcPr>
            <w:tcW w:w="1260" w:type="dxa"/>
          </w:tcPr>
          <w:p w:rsidR="00955C7D" w:rsidRDefault="00955C7D" w:rsidP="00955C7D">
            <w:pPr>
              <w:rPr>
                <w:sz w:val="24"/>
                <w:szCs w:val="24"/>
              </w:rPr>
            </w:pPr>
            <w:r>
              <w:rPr>
                <w:sz w:val="24"/>
                <w:szCs w:val="24"/>
              </w:rPr>
              <w:t>0.1771</w:t>
            </w:r>
            <w:r w:rsidR="00167F8B">
              <w:rPr>
                <w:sz w:val="24"/>
                <w:szCs w:val="24"/>
              </w:rPr>
              <w:t>7</w:t>
            </w:r>
          </w:p>
        </w:tc>
        <w:tc>
          <w:tcPr>
            <w:tcW w:w="1530" w:type="dxa"/>
          </w:tcPr>
          <w:p w:rsidR="00955C7D" w:rsidRDefault="00955C7D" w:rsidP="00955C7D">
            <w:pPr>
              <w:rPr>
                <w:sz w:val="24"/>
                <w:szCs w:val="24"/>
              </w:rPr>
            </w:pPr>
            <w:r>
              <w:rPr>
                <w:sz w:val="24"/>
                <w:szCs w:val="24"/>
              </w:rPr>
              <w:t>0.1825</w:t>
            </w:r>
            <w:r w:rsidR="00167F8B">
              <w:rPr>
                <w:sz w:val="24"/>
                <w:szCs w:val="24"/>
              </w:rPr>
              <w:t>6</w:t>
            </w:r>
          </w:p>
        </w:tc>
        <w:tc>
          <w:tcPr>
            <w:tcW w:w="1260" w:type="dxa"/>
          </w:tcPr>
          <w:p w:rsidR="00955C7D" w:rsidRDefault="00955C7D" w:rsidP="00955C7D">
            <w:pPr>
              <w:rPr>
                <w:sz w:val="24"/>
                <w:szCs w:val="24"/>
              </w:rPr>
            </w:pPr>
            <w:r>
              <w:rPr>
                <w:sz w:val="24"/>
                <w:szCs w:val="24"/>
              </w:rPr>
              <w:t>0.0870</w:t>
            </w:r>
            <w:r w:rsidR="00167F8B">
              <w:rPr>
                <w:sz w:val="24"/>
                <w:szCs w:val="24"/>
              </w:rPr>
              <w:t>9</w:t>
            </w:r>
          </w:p>
        </w:tc>
        <w:tc>
          <w:tcPr>
            <w:tcW w:w="1278" w:type="dxa"/>
          </w:tcPr>
          <w:p w:rsidR="00955C7D" w:rsidRDefault="00955C7D" w:rsidP="00955C7D">
            <w:pPr>
              <w:rPr>
                <w:sz w:val="24"/>
                <w:szCs w:val="24"/>
              </w:rPr>
            </w:pPr>
            <w:r>
              <w:rPr>
                <w:sz w:val="24"/>
                <w:szCs w:val="24"/>
              </w:rPr>
              <w:t>0.1696</w:t>
            </w:r>
            <w:r w:rsidR="00167F8B">
              <w:rPr>
                <w:sz w:val="24"/>
                <w:szCs w:val="24"/>
              </w:rPr>
              <w:t>0</w:t>
            </w:r>
          </w:p>
        </w:tc>
      </w:tr>
      <w:tr w:rsidR="00955C7D" w:rsidTr="00955C7D">
        <w:tc>
          <w:tcPr>
            <w:tcW w:w="3078" w:type="dxa"/>
          </w:tcPr>
          <w:p w:rsidR="00955C7D" w:rsidRPr="00821248" w:rsidRDefault="00955C7D" w:rsidP="00955C7D">
            <w:pPr>
              <w:rPr>
                <w:b/>
                <w:sz w:val="24"/>
                <w:szCs w:val="24"/>
              </w:rPr>
            </w:pPr>
            <w:r w:rsidRPr="00821248">
              <w:rPr>
                <w:b/>
                <w:sz w:val="24"/>
                <w:szCs w:val="24"/>
              </w:rPr>
              <w:t>Asset Turnover Ratio</w:t>
            </w:r>
          </w:p>
        </w:tc>
        <w:tc>
          <w:tcPr>
            <w:tcW w:w="1170" w:type="dxa"/>
          </w:tcPr>
          <w:p w:rsidR="00955C7D" w:rsidRDefault="00955C7D" w:rsidP="00955C7D">
            <w:pPr>
              <w:rPr>
                <w:sz w:val="24"/>
                <w:szCs w:val="24"/>
              </w:rPr>
            </w:pPr>
            <w:r>
              <w:rPr>
                <w:sz w:val="24"/>
                <w:szCs w:val="24"/>
              </w:rPr>
              <w:t>0.0442</w:t>
            </w:r>
            <w:r w:rsidR="00167F8B">
              <w:rPr>
                <w:sz w:val="24"/>
                <w:szCs w:val="24"/>
              </w:rPr>
              <w:t>2</w:t>
            </w:r>
          </w:p>
        </w:tc>
        <w:tc>
          <w:tcPr>
            <w:tcW w:w="1260" w:type="dxa"/>
          </w:tcPr>
          <w:p w:rsidR="00955C7D" w:rsidRDefault="00955C7D" w:rsidP="00955C7D">
            <w:pPr>
              <w:rPr>
                <w:sz w:val="24"/>
                <w:szCs w:val="24"/>
              </w:rPr>
            </w:pPr>
            <w:r>
              <w:rPr>
                <w:sz w:val="24"/>
                <w:szCs w:val="24"/>
              </w:rPr>
              <w:t>0.0451</w:t>
            </w:r>
            <w:r w:rsidR="00167F8B">
              <w:rPr>
                <w:sz w:val="24"/>
                <w:szCs w:val="24"/>
              </w:rPr>
              <w:t>6</w:t>
            </w:r>
          </w:p>
        </w:tc>
        <w:tc>
          <w:tcPr>
            <w:tcW w:w="1530" w:type="dxa"/>
          </w:tcPr>
          <w:p w:rsidR="00955C7D" w:rsidRDefault="00955C7D" w:rsidP="00955C7D">
            <w:pPr>
              <w:rPr>
                <w:sz w:val="24"/>
                <w:szCs w:val="24"/>
              </w:rPr>
            </w:pPr>
            <w:r>
              <w:rPr>
                <w:sz w:val="24"/>
                <w:szCs w:val="24"/>
              </w:rPr>
              <w:t>0.0441</w:t>
            </w:r>
            <w:r w:rsidR="00167F8B">
              <w:rPr>
                <w:sz w:val="24"/>
                <w:szCs w:val="24"/>
              </w:rPr>
              <w:t>6</w:t>
            </w:r>
          </w:p>
        </w:tc>
        <w:tc>
          <w:tcPr>
            <w:tcW w:w="1260" w:type="dxa"/>
          </w:tcPr>
          <w:p w:rsidR="00955C7D" w:rsidRDefault="00955C7D" w:rsidP="00955C7D">
            <w:pPr>
              <w:rPr>
                <w:sz w:val="24"/>
                <w:szCs w:val="24"/>
              </w:rPr>
            </w:pPr>
            <w:r>
              <w:rPr>
                <w:sz w:val="24"/>
                <w:szCs w:val="24"/>
              </w:rPr>
              <w:t>0.043189</w:t>
            </w:r>
          </w:p>
        </w:tc>
        <w:tc>
          <w:tcPr>
            <w:tcW w:w="1278" w:type="dxa"/>
          </w:tcPr>
          <w:p w:rsidR="00955C7D" w:rsidRDefault="00955C7D" w:rsidP="00955C7D">
            <w:pPr>
              <w:rPr>
                <w:sz w:val="24"/>
                <w:szCs w:val="24"/>
              </w:rPr>
            </w:pPr>
            <w:r>
              <w:rPr>
                <w:sz w:val="24"/>
                <w:szCs w:val="24"/>
              </w:rPr>
              <w:t>0.04388</w:t>
            </w:r>
          </w:p>
        </w:tc>
      </w:tr>
      <w:tr w:rsidR="00955C7D" w:rsidTr="00955C7D">
        <w:tc>
          <w:tcPr>
            <w:tcW w:w="3078" w:type="dxa"/>
          </w:tcPr>
          <w:p w:rsidR="00955C7D" w:rsidRPr="00821248" w:rsidRDefault="00955C7D" w:rsidP="00955C7D">
            <w:pPr>
              <w:rPr>
                <w:b/>
                <w:sz w:val="24"/>
                <w:szCs w:val="24"/>
              </w:rPr>
            </w:pPr>
            <w:r w:rsidRPr="00821248">
              <w:rPr>
                <w:b/>
                <w:sz w:val="24"/>
                <w:szCs w:val="24"/>
              </w:rPr>
              <w:t>Financial Leverage Ratio</w:t>
            </w:r>
          </w:p>
        </w:tc>
        <w:tc>
          <w:tcPr>
            <w:tcW w:w="1170" w:type="dxa"/>
          </w:tcPr>
          <w:p w:rsidR="00955C7D" w:rsidRDefault="00955C7D" w:rsidP="00955C7D">
            <w:pPr>
              <w:rPr>
                <w:sz w:val="24"/>
                <w:szCs w:val="24"/>
              </w:rPr>
            </w:pPr>
            <w:r>
              <w:rPr>
                <w:sz w:val="24"/>
                <w:szCs w:val="24"/>
              </w:rPr>
              <w:t>11.0060</w:t>
            </w:r>
            <w:r w:rsidR="007B7628">
              <w:rPr>
                <w:sz w:val="24"/>
                <w:szCs w:val="24"/>
              </w:rPr>
              <w:t>0</w:t>
            </w:r>
          </w:p>
        </w:tc>
        <w:tc>
          <w:tcPr>
            <w:tcW w:w="1260" w:type="dxa"/>
          </w:tcPr>
          <w:p w:rsidR="00955C7D" w:rsidRDefault="00955C7D" w:rsidP="00955C7D">
            <w:pPr>
              <w:rPr>
                <w:sz w:val="24"/>
                <w:szCs w:val="24"/>
              </w:rPr>
            </w:pPr>
            <w:r>
              <w:rPr>
                <w:sz w:val="24"/>
                <w:szCs w:val="24"/>
              </w:rPr>
              <w:t>10.12008</w:t>
            </w:r>
          </w:p>
        </w:tc>
        <w:tc>
          <w:tcPr>
            <w:tcW w:w="1530" w:type="dxa"/>
          </w:tcPr>
          <w:p w:rsidR="00955C7D" w:rsidRDefault="00955C7D" w:rsidP="00955C7D">
            <w:pPr>
              <w:rPr>
                <w:sz w:val="24"/>
                <w:szCs w:val="24"/>
              </w:rPr>
            </w:pPr>
            <w:r>
              <w:rPr>
                <w:sz w:val="24"/>
                <w:szCs w:val="24"/>
              </w:rPr>
              <w:t>10.7662</w:t>
            </w:r>
            <w:r w:rsidR="007B7628">
              <w:rPr>
                <w:sz w:val="24"/>
                <w:szCs w:val="24"/>
              </w:rPr>
              <w:t>2</w:t>
            </w:r>
          </w:p>
        </w:tc>
        <w:tc>
          <w:tcPr>
            <w:tcW w:w="1260" w:type="dxa"/>
          </w:tcPr>
          <w:p w:rsidR="00955C7D" w:rsidRDefault="00955C7D" w:rsidP="00955C7D">
            <w:pPr>
              <w:rPr>
                <w:sz w:val="24"/>
                <w:szCs w:val="24"/>
              </w:rPr>
            </w:pPr>
            <w:r>
              <w:rPr>
                <w:sz w:val="24"/>
                <w:szCs w:val="24"/>
              </w:rPr>
              <w:t>11.3843</w:t>
            </w:r>
            <w:r w:rsidR="007B7628">
              <w:rPr>
                <w:sz w:val="24"/>
                <w:szCs w:val="24"/>
              </w:rPr>
              <w:t>8</w:t>
            </w:r>
          </w:p>
        </w:tc>
        <w:tc>
          <w:tcPr>
            <w:tcW w:w="1278" w:type="dxa"/>
          </w:tcPr>
          <w:p w:rsidR="00955C7D" w:rsidRDefault="00955C7D" w:rsidP="00955C7D">
            <w:pPr>
              <w:rPr>
                <w:sz w:val="24"/>
                <w:szCs w:val="24"/>
              </w:rPr>
            </w:pPr>
            <w:r>
              <w:rPr>
                <w:sz w:val="24"/>
                <w:szCs w:val="24"/>
              </w:rPr>
              <w:t>11.2257</w:t>
            </w:r>
            <w:r w:rsidR="007B7628">
              <w:rPr>
                <w:sz w:val="24"/>
                <w:szCs w:val="24"/>
              </w:rPr>
              <w:t>6</w:t>
            </w:r>
          </w:p>
        </w:tc>
      </w:tr>
      <w:tr w:rsidR="00955C7D" w:rsidTr="00955C7D">
        <w:tc>
          <w:tcPr>
            <w:tcW w:w="3078" w:type="dxa"/>
          </w:tcPr>
          <w:p w:rsidR="00955C7D" w:rsidRPr="00821248" w:rsidRDefault="00955C7D" w:rsidP="00955C7D">
            <w:pPr>
              <w:rPr>
                <w:b/>
                <w:sz w:val="24"/>
                <w:szCs w:val="24"/>
              </w:rPr>
            </w:pPr>
            <w:r w:rsidRPr="00821248">
              <w:rPr>
                <w:b/>
                <w:sz w:val="24"/>
                <w:szCs w:val="24"/>
              </w:rPr>
              <w:t>ROE</w:t>
            </w:r>
            <w:r>
              <w:rPr>
                <w:b/>
                <w:sz w:val="24"/>
                <w:szCs w:val="24"/>
              </w:rPr>
              <w:t xml:space="preserve"> %</w:t>
            </w:r>
          </w:p>
        </w:tc>
        <w:tc>
          <w:tcPr>
            <w:tcW w:w="1170" w:type="dxa"/>
          </w:tcPr>
          <w:p w:rsidR="00955C7D" w:rsidRDefault="00955C7D" w:rsidP="00955C7D">
            <w:pPr>
              <w:rPr>
                <w:sz w:val="24"/>
                <w:szCs w:val="24"/>
              </w:rPr>
            </w:pPr>
            <w:r>
              <w:rPr>
                <w:sz w:val="24"/>
                <w:szCs w:val="24"/>
              </w:rPr>
              <w:t xml:space="preserve">9.78 </w:t>
            </w:r>
          </w:p>
        </w:tc>
        <w:tc>
          <w:tcPr>
            <w:tcW w:w="1260" w:type="dxa"/>
          </w:tcPr>
          <w:p w:rsidR="00955C7D" w:rsidRDefault="00955C7D" w:rsidP="00955C7D">
            <w:pPr>
              <w:rPr>
                <w:sz w:val="24"/>
                <w:szCs w:val="24"/>
              </w:rPr>
            </w:pPr>
            <w:r>
              <w:rPr>
                <w:sz w:val="24"/>
                <w:szCs w:val="24"/>
              </w:rPr>
              <w:t>8.09</w:t>
            </w:r>
          </w:p>
        </w:tc>
        <w:tc>
          <w:tcPr>
            <w:tcW w:w="1530" w:type="dxa"/>
          </w:tcPr>
          <w:p w:rsidR="00955C7D" w:rsidRDefault="00955C7D" w:rsidP="00955C7D">
            <w:pPr>
              <w:rPr>
                <w:sz w:val="24"/>
                <w:szCs w:val="24"/>
              </w:rPr>
            </w:pPr>
            <w:r>
              <w:rPr>
                <w:sz w:val="24"/>
                <w:szCs w:val="24"/>
              </w:rPr>
              <w:t>8.68</w:t>
            </w:r>
          </w:p>
        </w:tc>
        <w:tc>
          <w:tcPr>
            <w:tcW w:w="1260" w:type="dxa"/>
          </w:tcPr>
          <w:p w:rsidR="00955C7D" w:rsidRDefault="00955C7D" w:rsidP="00955C7D">
            <w:pPr>
              <w:rPr>
                <w:sz w:val="24"/>
                <w:szCs w:val="24"/>
              </w:rPr>
            </w:pPr>
            <w:r>
              <w:rPr>
                <w:sz w:val="24"/>
                <w:szCs w:val="24"/>
              </w:rPr>
              <w:t xml:space="preserve">4.28 </w:t>
            </w:r>
          </w:p>
        </w:tc>
        <w:tc>
          <w:tcPr>
            <w:tcW w:w="1278" w:type="dxa"/>
          </w:tcPr>
          <w:p w:rsidR="00955C7D" w:rsidRDefault="00955C7D" w:rsidP="00955C7D">
            <w:pPr>
              <w:rPr>
                <w:sz w:val="24"/>
                <w:szCs w:val="24"/>
              </w:rPr>
            </w:pPr>
            <w:r>
              <w:rPr>
                <w:sz w:val="24"/>
                <w:szCs w:val="24"/>
              </w:rPr>
              <w:t xml:space="preserve">8.35 </w:t>
            </w:r>
          </w:p>
        </w:tc>
      </w:tr>
    </w:tbl>
    <w:p w:rsidR="00955C7D" w:rsidRDefault="00955C7D" w:rsidP="002D5FE1">
      <w:pPr>
        <w:rPr>
          <w:sz w:val="24"/>
          <w:szCs w:val="24"/>
        </w:rPr>
      </w:pPr>
    </w:p>
    <w:p w:rsidR="00972C8D" w:rsidRDefault="00404D2A" w:rsidP="008A1A78">
      <w:pPr>
        <w:jc w:val="both"/>
        <w:rPr>
          <w:sz w:val="24"/>
          <w:szCs w:val="24"/>
        </w:rPr>
      </w:pPr>
      <w:r w:rsidRPr="00404D2A">
        <w:rPr>
          <w:b/>
          <w:sz w:val="24"/>
          <w:szCs w:val="24"/>
        </w:rPr>
        <w:t>Profit Turnover Ratio:</w:t>
      </w:r>
      <w:r>
        <w:rPr>
          <w:sz w:val="24"/>
          <w:szCs w:val="24"/>
        </w:rPr>
        <w:t xml:space="preserve"> It is call</w:t>
      </w:r>
      <w:r w:rsidR="009577C4">
        <w:rPr>
          <w:sz w:val="24"/>
          <w:szCs w:val="24"/>
        </w:rPr>
        <w:t>ed</w:t>
      </w:r>
      <w:r>
        <w:rPr>
          <w:sz w:val="24"/>
          <w:szCs w:val="24"/>
        </w:rPr>
        <w:t xml:space="preserve"> net profit margin which is the ratio of bottom line profits compared to total revenue which is one important basic measures of profitability. </w:t>
      </w:r>
    </w:p>
    <w:p w:rsidR="00F94C75" w:rsidRDefault="00F94C75" w:rsidP="008A1A78">
      <w:pPr>
        <w:jc w:val="both"/>
        <w:rPr>
          <w:sz w:val="24"/>
          <w:szCs w:val="24"/>
        </w:rPr>
      </w:pPr>
      <w:r>
        <w:rPr>
          <w:sz w:val="24"/>
          <w:szCs w:val="24"/>
        </w:rPr>
        <w:t xml:space="preserve">If we look at the five years period, In 2014 PBL had the highest profit turnover ratio which was 0.20099. Lowest profit turnover ratio was in 2017 stood at 0.08709. </w:t>
      </w:r>
      <w:r w:rsidR="00960AF0">
        <w:rPr>
          <w:sz w:val="24"/>
          <w:szCs w:val="24"/>
        </w:rPr>
        <w:t xml:space="preserve"> </w:t>
      </w:r>
    </w:p>
    <w:p w:rsidR="00960AF0" w:rsidRDefault="00404D2A" w:rsidP="008A1A78">
      <w:pPr>
        <w:jc w:val="both"/>
        <w:rPr>
          <w:sz w:val="24"/>
          <w:szCs w:val="24"/>
        </w:rPr>
      </w:pPr>
      <w:r w:rsidRPr="00404D2A">
        <w:rPr>
          <w:b/>
          <w:sz w:val="24"/>
          <w:szCs w:val="24"/>
        </w:rPr>
        <w:t>Asset Turnover Ratio:</w:t>
      </w:r>
      <w:r>
        <w:rPr>
          <w:sz w:val="24"/>
          <w:szCs w:val="24"/>
        </w:rPr>
        <w:t xml:space="preserve"> Asset Turnover Ratio show</w:t>
      </w:r>
      <w:r w:rsidR="00972C8D">
        <w:rPr>
          <w:sz w:val="24"/>
          <w:szCs w:val="24"/>
        </w:rPr>
        <w:t>s</w:t>
      </w:r>
      <w:r>
        <w:rPr>
          <w:sz w:val="24"/>
          <w:szCs w:val="24"/>
        </w:rPr>
        <w:t xml:space="preserve"> how efficiently a company uses its asset to generate revenue. The ratio is helpful when comparing two similar companies. </w:t>
      </w:r>
      <w:r w:rsidR="00935BB8">
        <w:rPr>
          <w:sz w:val="24"/>
          <w:szCs w:val="24"/>
        </w:rPr>
        <w:br/>
      </w:r>
      <w:r w:rsidR="00960AF0">
        <w:rPr>
          <w:sz w:val="24"/>
          <w:szCs w:val="24"/>
        </w:rPr>
        <w:t>From 2014 to 2018 asset turnover ratio was around 0.044. If we look closely there was slight decrease in asset turnover ratio in the year 2017 and 2018 which was 0.043.</w:t>
      </w:r>
    </w:p>
    <w:p w:rsidR="00960AF0" w:rsidRDefault="00972C8D" w:rsidP="008A1A78">
      <w:pPr>
        <w:jc w:val="both"/>
        <w:rPr>
          <w:sz w:val="24"/>
          <w:szCs w:val="24"/>
        </w:rPr>
      </w:pPr>
      <w:r w:rsidRPr="00972C8D">
        <w:rPr>
          <w:b/>
          <w:sz w:val="24"/>
          <w:szCs w:val="24"/>
        </w:rPr>
        <w:t>Equity Multiplier:</w:t>
      </w:r>
      <w:r>
        <w:rPr>
          <w:b/>
          <w:sz w:val="24"/>
          <w:szCs w:val="24"/>
        </w:rPr>
        <w:t xml:space="preserve"> </w:t>
      </w:r>
      <w:r>
        <w:rPr>
          <w:sz w:val="24"/>
          <w:szCs w:val="24"/>
        </w:rPr>
        <w:t xml:space="preserve">It is Financial Leverage ratio which explains indirect study of a company’s use of debt to finance its assets. Using too much debt can increase ROE but can create undesirable risks. </w:t>
      </w:r>
      <w:r w:rsidR="00935BB8">
        <w:rPr>
          <w:sz w:val="24"/>
          <w:szCs w:val="24"/>
        </w:rPr>
        <w:br/>
      </w:r>
      <w:r w:rsidR="00404D2A">
        <w:rPr>
          <w:sz w:val="24"/>
          <w:szCs w:val="24"/>
        </w:rPr>
        <w:t xml:space="preserve">PBL had a high equity multiplier in 2017 and 2018 compared to previous years. </w:t>
      </w:r>
      <w:r w:rsidR="00960AF0">
        <w:rPr>
          <w:sz w:val="24"/>
          <w:szCs w:val="24"/>
        </w:rPr>
        <w:t>In 2014 Equity Multiplier was 11.0060, in 2015 it came down to 10.12</w:t>
      </w:r>
      <w:r w:rsidR="00404D2A">
        <w:rPr>
          <w:sz w:val="24"/>
          <w:szCs w:val="24"/>
        </w:rPr>
        <w:t>008</w:t>
      </w:r>
      <w:r w:rsidR="00960AF0">
        <w:rPr>
          <w:sz w:val="24"/>
          <w:szCs w:val="24"/>
        </w:rPr>
        <w:t xml:space="preserve">. In 2016 it was 10.7662. </w:t>
      </w:r>
      <w:r w:rsidR="00404D2A">
        <w:rPr>
          <w:sz w:val="24"/>
          <w:szCs w:val="24"/>
        </w:rPr>
        <w:t xml:space="preserve">In 2017 </w:t>
      </w:r>
      <w:r w:rsidR="00960AF0">
        <w:rPr>
          <w:sz w:val="24"/>
          <w:szCs w:val="24"/>
        </w:rPr>
        <w:t xml:space="preserve">Equity Multiplier was high </w:t>
      </w:r>
      <w:r w:rsidR="00404D2A">
        <w:rPr>
          <w:sz w:val="24"/>
          <w:szCs w:val="24"/>
        </w:rPr>
        <w:t>stood at 11.3843 and in the year 2018 it was 11.2257.</w:t>
      </w:r>
    </w:p>
    <w:p w:rsidR="00CE7699" w:rsidRDefault="00CE7699" w:rsidP="008A1A78">
      <w:pPr>
        <w:jc w:val="both"/>
        <w:rPr>
          <w:sz w:val="24"/>
          <w:szCs w:val="24"/>
        </w:rPr>
      </w:pPr>
      <w:r w:rsidRPr="00CE7699">
        <w:rPr>
          <w:b/>
          <w:sz w:val="24"/>
          <w:szCs w:val="24"/>
        </w:rPr>
        <w:t>ROE</w:t>
      </w:r>
      <w:r>
        <w:rPr>
          <w:sz w:val="24"/>
          <w:szCs w:val="24"/>
        </w:rPr>
        <w:t xml:space="preserve">: Return on Equity Measures the rate of return on ownership interest of a business and is </w:t>
      </w:r>
      <w:r w:rsidR="00C05D6D">
        <w:rPr>
          <w:sz w:val="24"/>
          <w:szCs w:val="24"/>
        </w:rPr>
        <w:t>not important</w:t>
      </w:r>
      <w:r>
        <w:rPr>
          <w:sz w:val="24"/>
          <w:szCs w:val="24"/>
        </w:rPr>
        <w:t xml:space="preserve"> if earnings are not reinvested</w:t>
      </w:r>
      <w:r w:rsidR="00C05D6D">
        <w:rPr>
          <w:sz w:val="24"/>
          <w:szCs w:val="24"/>
        </w:rPr>
        <w:t xml:space="preserve"> in the business. A high ROE can mean the company is successful in generating profit but does not shows the risks related with the in that </w:t>
      </w:r>
      <w:r w:rsidR="008A1A78">
        <w:rPr>
          <w:sz w:val="24"/>
          <w:szCs w:val="24"/>
        </w:rPr>
        <w:t>return</w:t>
      </w:r>
      <w:r w:rsidR="00C05D6D">
        <w:rPr>
          <w:sz w:val="24"/>
          <w:szCs w:val="24"/>
        </w:rPr>
        <w:t>.</w:t>
      </w:r>
      <w:r w:rsidR="00935BB8">
        <w:rPr>
          <w:sz w:val="24"/>
          <w:szCs w:val="24"/>
        </w:rPr>
        <w:br/>
      </w:r>
      <w:r>
        <w:rPr>
          <w:sz w:val="24"/>
          <w:szCs w:val="24"/>
        </w:rPr>
        <w:t>From the five years period in 2014 PBL had the highest ROE at 9.78 % and in 2017 had the lowest which was 4.28%. In 2018 PBL has overcome their ROE to 8.35 %</w:t>
      </w:r>
    </w:p>
    <w:p w:rsidR="00804B6B" w:rsidRDefault="00804B6B" w:rsidP="0075584F">
      <w:pPr>
        <w:rPr>
          <w:b/>
          <w:sz w:val="32"/>
          <w:szCs w:val="32"/>
        </w:rPr>
      </w:pPr>
    </w:p>
    <w:p w:rsidR="008A1A78" w:rsidRDefault="008A1A78" w:rsidP="0075584F">
      <w:pPr>
        <w:rPr>
          <w:b/>
          <w:sz w:val="32"/>
          <w:szCs w:val="32"/>
        </w:rPr>
      </w:pPr>
    </w:p>
    <w:p w:rsidR="00D70272" w:rsidRPr="002A2733" w:rsidRDefault="00F135D5" w:rsidP="0075584F">
      <w:pPr>
        <w:rPr>
          <w:b/>
          <w:sz w:val="32"/>
          <w:szCs w:val="32"/>
        </w:rPr>
      </w:pPr>
      <w:r>
        <w:rPr>
          <w:b/>
          <w:sz w:val="32"/>
          <w:szCs w:val="32"/>
        </w:rPr>
        <w:lastRenderedPageBreak/>
        <w:t>5</w:t>
      </w:r>
      <w:r w:rsidR="004B3A64">
        <w:rPr>
          <w:b/>
          <w:sz w:val="32"/>
          <w:szCs w:val="32"/>
        </w:rPr>
        <w:t xml:space="preserve">. </w:t>
      </w:r>
      <w:r w:rsidR="002A2733">
        <w:rPr>
          <w:b/>
          <w:sz w:val="32"/>
          <w:szCs w:val="32"/>
        </w:rPr>
        <w:t>Du</w:t>
      </w:r>
      <w:r w:rsidR="00D70272" w:rsidRPr="002A2733">
        <w:rPr>
          <w:b/>
          <w:sz w:val="32"/>
          <w:szCs w:val="32"/>
        </w:rPr>
        <w:t xml:space="preserve">Pont </w:t>
      </w:r>
      <w:r w:rsidR="00BE0962">
        <w:rPr>
          <w:b/>
          <w:sz w:val="32"/>
          <w:szCs w:val="32"/>
        </w:rPr>
        <w:t xml:space="preserve">Five Component </w:t>
      </w:r>
      <w:r w:rsidR="00D70272" w:rsidRPr="002A2733">
        <w:rPr>
          <w:b/>
          <w:sz w:val="32"/>
          <w:szCs w:val="32"/>
        </w:rPr>
        <w:t>Analysis</w:t>
      </w:r>
    </w:p>
    <w:p w:rsidR="00D70272" w:rsidRDefault="009577C4" w:rsidP="008A1A78">
      <w:pPr>
        <w:jc w:val="both"/>
        <w:rPr>
          <w:sz w:val="24"/>
          <w:szCs w:val="24"/>
        </w:rPr>
      </w:pPr>
      <w:r>
        <w:rPr>
          <w:sz w:val="24"/>
          <w:szCs w:val="24"/>
        </w:rPr>
        <w:t>Five components</w:t>
      </w:r>
      <w:r w:rsidR="00D70272">
        <w:rPr>
          <w:sz w:val="24"/>
          <w:szCs w:val="24"/>
        </w:rPr>
        <w:t xml:space="preserve"> DuPont Analysis breaks down the profit margin into two </w:t>
      </w:r>
      <w:r>
        <w:rPr>
          <w:sz w:val="24"/>
          <w:szCs w:val="24"/>
        </w:rPr>
        <w:t>external obligated</w:t>
      </w:r>
      <w:r w:rsidR="00D70272">
        <w:rPr>
          <w:sz w:val="24"/>
          <w:szCs w:val="24"/>
        </w:rPr>
        <w:t xml:space="preserve"> components. They are tax and interest </w:t>
      </w:r>
      <w:r>
        <w:rPr>
          <w:sz w:val="24"/>
          <w:szCs w:val="24"/>
        </w:rPr>
        <w:t>burden activities</w:t>
      </w:r>
      <w:proofErr w:type="gramStart"/>
      <w:r>
        <w:rPr>
          <w:sz w:val="24"/>
          <w:szCs w:val="24"/>
        </w:rPr>
        <w:t>.</w:t>
      </w:r>
      <w:r w:rsidR="00D70272">
        <w:rPr>
          <w:sz w:val="24"/>
          <w:szCs w:val="24"/>
        </w:rPr>
        <w:t>.</w:t>
      </w:r>
      <w:proofErr w:type="gramEnd"/>
      <w:r w:rsidR="00D70272">
        <w:rPr>
          <w:sz w:val="24"/>
          <w:szCs w:val="24"/>
        </w:rPr>
        <w:t xml:space="preserve"> It shows how tax and interest affect ROE. Tax burden is the part of profits kept after paying taxes. Interest burden shows how interest is affecting profits. If a company has no debt the ratio will be 1.</w:t>
      </w:r>
      <w:r w:rsidR="00721EE6">
        <w:rPr>
          <w:sz w:val="24"/>
          <w:szCs w:val="24"/>
        </w:rPr>
        <w:t xml:space="preserve"> If interest expense is zero then interest burden ratio is one.</w:t>
      </w:r>
      <w:r w:rsidR="00D70272">
        <w:rPr>
          <w:sz w:val="24"/>
          <w:szCs w:val="24"/>
        </w:rPr>
        <w:t xml:space="preserve"> Operating margin</w:t>
      </w:r>
      <w:r w:rsidR="00721EE6">
        <w:rPr>
          <w:sz w:val="24"/>
          <w:szCs w:val="24"/>
        </w:rPr>
        <w:t xml:space="preserve"> income is the operating income. The first four components are also ROA here.</w:t>
      </w:r>
    </w:p>
    <w:p w:rsidR="00935BB8" w:rsidRDefault="00935BB8" w:rsidP="008A1A78">
      <w:pPr>
        <w:jc w:val="both"/>
        <w:rPr>
          <w:sz w:val="24"/>
          <w:szCs w:val="24"/>
        </w:rPr>
      </w:pPr>
      <w:r>
        <w:rPr>
          <w:sz w:val="24"/>
          <w:szCs w:val="24"/>
        </w:rPr>
        <w:t>ROE = Tax Burden Ratio X Interest Burden Ratio X EBIT Margin X Asset Turnover X Equity Multiplier</w:t>
      </w:r>
    </w:p>
    <w:p w:rsidR="00D70272" w:rsidRDefault="003E6923" w:rsidP="008A1A78">
      <w:pPr>
        <w:jc w:val="both"/>
        <w:rPr>
          <w:sz w:val="24"/>
          <w:szCs w:val="24"/>
        </w:rPr>
      </w:pPr>
      <w:r>
        <w:rPr>
          <w:sz w:val="24"/>
          <w:szCs w:val="24"/>
        </w:rPr>
        <w:t>ROE = Net Profit</w:t>
      </w:r>
      <w:r w:rsidR="00D70272">
        <w:rPr>
          <w:sz w:val="24"/>
          <w:szCs w:val="24"/>
        </w:rPr>
        <w:t>/EBT X EBT/EBIT X EBIT/Net Revenue X Net Revenue/Total Assets X Total Assets/Total Equity</w:t>
      </w:r>
    </w:p>
    <w:p w:rsidR="00303457" w:rsidRDefault="00303457" w:rsidP="0075584F">
      <w:pPr>
        <w:rPr>
          <w:sz w:val="24"/>
          <w:szCs w:val="24"/>
        </w:rPr>
      </w:pPr>
    </w:p>
    <w:p w:rsidR="00C05D6D" w:rsidRDefault="00C05D6D" w:rsidP="0075584F">
      <w:pPr>
        <w:rPr>
          <w:sz w:val="24"/>
          <w:szCs w:val="24"/>
        </w:rPr>
      </w:pPr>
    </w:p>
    <w:p w:rsidR="00C05D6D" w:rsidRDefault="009F0BB9" w:rsidP="0075584F">
      <w:pPr>
        <w:rPr>
          <w:sz w:val="24"/>
          <w:szCs w:val="24"/>
        </w:rPr>
      </w:pPr>
      <w:r w:rsidRPr="009F0BB9">
        <w:rPr>
          <w:b/>
          <w:sz w:val="24"/>
          <w:szCs w:val="24"/>
        </w:rPr>
        <w:t>Table</w:t>
      </w:r>
      <w:r>
        <w:rPr>
          <w:sz w:val="24"/>
          <w:szCs w:val="24"/>
        </w:rPr>
        <w:t xml:space="preserve"> </w:t>
      </w:r>
      <w:r w:rsidRPr="009F0BB9">
        <w:rPr>
          <w:b/>
          <w:sz w:val="24"/>
          <w:szCs w:val="24"/>
        </w:rPr>
        <w:t>DuPont 5 component Analysis</w:t>
      </w:r>
      <w:r>
        <w:rPr>
          <w:b/>
          <w:sz w:val="24"/>
          <w:szCs w:val="24"/>
        </w:rPr>
        <w:t xml:space="preserve"> (2014-2018)</w:t>
      </w:r>
    </w:p>
    <w:tbl>
      <w:tblPr>
        <w:tblStyle w:val="TableGrid"/>
        <w:tblW w:w="0" w:type="auto"/>
        <w:tblLook w:val="04A0" w:firstRow="1" w:lastRow="0" w:firstColumn="1" w:lastColumn="0" w:noHBand="0" w:noVBand="1"/>
      </w:tblPr>
      <w:tblGrid>
        <w:gridCol w:w="3078"/>
        <w:gridCol w:w="1170"/>
        <w:gridCol w:w="1260"/>
        <w:gridCol w:w="1530"/>
        <w:gridCol w:w="1260"/>
        <w:gridCol w:w="1278"/>
      </w:tblGrid>
      <w:tr w:rsidR="00B250DC" w:rsidTr="00C46BB6">
        <w:tc>
          <w:tcPr>
            <w:tcW w:w="3078" w:type="dxa"/>
          </w:tcPr>
          <w:p w:rsidR="00B250DC" w:rsidRPr="00821248" w:rsidRDefault="00B250DC" w:rsidP="00C46BB6">
            <w:pPr>
              <w:rPr>
                <w:b/>
                <w:sz w:val="24"/>
                <w:szCs w:val="24"/>
              </w:rPr>
            </w:pPr>
            <w:r w:rsidRPr="00821248">
              <w:rPr>
                <w:b/>
                <w:sz w:val="24"/>
                <w:szCs w:val="24"/>
              </w:rPr>
              <w:t>Year</w:t>
            </w:r>
          </w:p>
        </w:tc>
        <w:tc>
          <w:tcPr>
            <w:tcW w:w="1170" w:type="dxa"/>
          </w:tcPr>
          <w:p w:rsidR="00B250DC" w:rsidRPr="00DE02C4" w:rsidRDefault="00B250DC" w:rsidP="00C46BB6">
            <w:pPr>
              <w:rPr>
                <w:b/>
                <w:sz w:val="24"/>
                <w:szCs w:val="24"/>
              </w:rPr>
            </w:pPr>
            <w:r w:rsidRPr="00DE02C4">
              <w:rPr>
                <w:b/>
                <w:sz w:val="24"/>
                <w:szCs w:val="24"/>
              </w:rPr>
              <w:t>2014</w:t>
            </w:r>
          </w:p>
        </w:tc>
        <w:tc>
          <w:tcPr>
            <w:tcW w:w="1260" w:type="dxa"/>
          </w:tcPr>
          <w:p w:rsidR="00B250DC" w:rsidRPr="00DE02C4" w:rsidRDefault="00B250DC" w:rsidP="00C46BB6">
            <w:pPr>
              <w:rPr>
                <w:b/>
                <w:sz w:val="24"/>
                <w:szCs w:val="24"/>
              </w:rPr>
            </w:pPr>
            <w:r w:rsidRPr="00DE02C4">
              <w:rPr>
                <w:b/>
                <w:sz w:val="24"/>
                <w:szCs w:val="24"/>
              </w:rPr>
              <w:t>2015</w:t>
            </w:r>
          </w:p>
        </w:tc>
        <w:tc>
          <w:tcPr>
            <w:tcW w:w="1530" w:type="dxa"/>
          </w:tcPr>
          <w:p w:rsidR="00B250DC" w:rsidRPr="00DE02C4" w:rsidRDefault="00B250DC" w:rsidP="00C46BB6">
            <w:pPr>
              <w:rPr>
                <w:b/>
                <w:sz w:val="24"/>
                <w:szCs w:val="24"/>
              </w:rPr>
            </w:pPr>
            <w:r w:rsidRPr="00DE02C4">
              <w:rPr>
                <w:b/>
                <w:sz w:val="24"/>
                <w:szCs w:val="24"/>
              </w:rPr>
              <w:t>2016</w:t>
            </w:r>
          </w:p>
        </w:tc>
        <w:tc>
          <w:tcPr>
            <w:tcW w:w="1260" w:type="dxa"/>
          </w:tcPr>
          <w:p w:rsidR="00B250DC" w:rsidRPr="00DE02C4" w:rsidRDefault="00B250DC" w:rsidP="00C46BB6">
            <w:pPr>
              <w:rPr>
                <w:b/>
                <w:sz w:val="24"/>
                <w:szCs w:val="24"/>
              </w:rPr>
            </w:pPr>
            <w:r w:rsidRPr="00DE02C4">
              <w:rPr>
                <w:b/>
                <w:sz w:val="24"/>
                <w:szCs w:val="24"/>
              </w:rPr>
              <w:t>2017</w:t>
            </w:r>
          </w:p>
        </w:tc>
        <w:tc>
          <w:tcPr>
            <w:tcW w:w="1278" w:type="dxa"/>
          </w:tcPr>
          <w:p w:rsidR="00B250DC" w:rsidRPr="00DE02C4" w:rsidRDefault="00B250DC" w:rsidP="00C46BB6">
            <w:pPr>
              <w:rPr>
                <w:b/>
                <w:sz w:val="24"/>
                <w:szCs w:val="24"/>
              </w:rPr>
            </w:pPr>
            <w:r w:rsidRPr="00DE02C4">
              <w:rPr>
                <w:b/>
                <w:sz w:val="24"/>
                <w:szCs w:val="24"/>
              </w:rPr>
              <w:t>2018</w:t>
            </w:r>
          </w:p>
        </w:tc>
      </w:tr>
      <w:tr w:rsidR="00B250DC" w:rsidTr="00C46BB6">
        <w:tc>
          <w:tcPr>
            <w:tcW w:w="3078" w:type="dxa"/>
          </w:tcPr>
          <w:p w:rsidR="00B250DC" w:rsidRDefault="00B250DC" w:rsidP="00C46BB6">
            <w:pPr>
              <w:rPr>
                <w:b/>
                <w:sz w:val="24"/>
                <w:szCs w:val="24"/>
              </w:rPr>
            </w:pPr>
            <w:r>
              <w:rPr>
                <w:b/>
                <w:sz w:val="24"/>
                <w:szCs w:val="24"/>
              </w:rPr>
              <w:t>Tax Burden ratio</w:t>
            </w:r>
          </w:p>
        </w:tc>
        <w:tc>
          <w:tcPr>
            <w:tcW w:w="1170" w:type="dxa"/>
          </w:tcPr>
          <w:p w:rsidR="00B250DC" w:rsidRDefault="00B250DC" w:rsidP="00C46BB6">
            <w:pPr>
              <w:rPr>
                <w:sz w:val="24"/>
                <w:szCs w:val="24"/>
              </w:rPr>
            </w:pPr>
            <w:r>
              <w:rPr>
                <w:sz w:val="24"/>
                <w:szCs w:val="24"/>
              </w:rPr>
              <w:t>0.729573</w:t>
            </w:r>
          </w:p>
        </w:tc>
        <w:tc>
          <w:tcPr>
            <w:tcW w:w="1260" w:type="dxa"/>
          </w:tcPr>
          <w:p w:rsidR="00B250DC" w:rsidRDefault="00B250DC" w:rsidP="00C46BB6">
            <w:pPr>
              <w:rPr>
                <w:sz w:val="24"/>
                <w:szCs w:val="24"/>
              </w:rPr>
            </w:pPr>
            <w:r>
              <w:rPr>
                <w:sz w:val="24"/>
                <w:szCs w:val="24"/>
              </w:rPr>
              <w:t>0.777252</w:t>
            </w:r>
          </w:p>
        </w:tc>
        <w:tc>
          <w:tcPr>
            <w:tcW w:w="1530" w:type="dxa"/>
          </w:tcPr>
          <w:p w:rsidR="00B250DC" w:rsidRDefault="00B250DC" w:rsidP="00C46BB6">
            <w:pPr>
              <w:rPr>
                <w:sz w:val="24"/>
                <w:szCs w:val="24"/>
              </w:rPr>
            </w:pPr>
            <w:r>
              <w:rPr>
                <w:sz w:val="24"/>
                <w:szCs w:val="24"/>
              </w:rPr>
              <w:t>0.936034</w:t>
            </w:r>
          </w:p>
        </w:tc>
        <w:tc>
          <w:tcPr>
            <w:tcW w:w="1260" w:type="dxa"/>
          </w:tcPr>
          <w:p w:rsidR="00B250DC" w:rsidRDefault="00B250DC" w:rsidP="00C46BB6">
            <w:pPr>
              <w:rPr>
                <w:sz w:val="24"/>
                <w:szCs w:val="24"/>
              </w:rPr>
            </w:pPr>
            <w:r>
              <w:rPr>
                <w:sz w:val="24"/>
                <w:szCs w:val="24"/>
              </w:rPr>
              <w:t>0.585176</w:t>
            </w:r>
          </w:p>
        </w:tc>
        <w:tc>
          <w:tcPr>
            <w:tcW w:w="1278" w:type="dxa"/>
          </w:tcPr>
          <w:p w:rsidR="00B250DC" w:rsidRDefault="00B250DC" w:rsidP="00C46BB6">
            <w:pPr>
              <w:rPr>
                <w:sz w:val="24"/>
                <w:szCs w:val="24"/>
              </w:rPr>
            </w:pPr>
            <w:r>
              <w:rPr>
                <w:sz w:val="24"/>
                <w:szCs w:val="24"/>
              </w:rPr>
              <w:t>0.55499</w:t>
            </w:r>
          </w:p>
        </w:tc>
      </w:tr>
      <w:tr w:rsidR="00B250DC" w:rsidTr="00C46BB6">
        <w:tc>
          <w:tcPr>
            <w:tcW w:w="3078" w:type="dxa"/>
          </w:tcPr>
          <w:p w:rsidR="00B250DC" w:rsidRDefault="00B250DC" w:rsidP="00C46BB6">
            <w:pPr>
              <w:rPr>
                <w:b/>
                <w:sz w:val="24"/>
                <w:szCs w:val="24"/>
              </w:rPr>
            </w:pPr>
            <w:r>
              <w:rPr>
                <w:b/>
                <w:sz w:val="24"/>
                <w:szCs w:val="24"/>
              </w:rPr>
              <w:t>Interest Burden ratio</w:t>
            </w:r>
          </w:p>
        </w:tc>
        <w:tc>
          <w:tcPr>
            <w:tcW w:w="1170" w:type="dxa"/>
          </w:tcPr>
          <w:p w:rsidR="00B250DC" w:rsidRDefault="00B250DC" w:rsidP="00C46BB6">
            <w:pPr>
              <w:rPr>
                <w:sz w:val="24"/>
                <w:szCs w:val="24"/>
              </w:rPr>
            </w:pPr>
            <w:r>
              <w:rPr>
                <w:sz w:val="24"/>
                <w:szCs w:val="24"/>
              </w:rPr>
              <w:t>0.532813</w:t>
            </w:r>
          </w:p>
        </w:tc>
        <w:tc>
          <w:tcPr>
            <w:tcW w:w="1260" w:type="dxa"/>
          </w:tcPr>
          <w:p w:rsidR="00B250DC" w:rsidRDefault="00B250DC" w:rsidP="00C46BB6">
            <w:pPr>
              <w:rPr>
                <w:sz w:val="24"/>
                <w:szCs w:val="24"/>
              </w:rPr>
            </w:pPr>
            <w:r>
              <w:rPr>
                <w:sz w:val="24"/>
                <w:szCs w:val="24"/>
              </w:rPr>
              <w:t>0.465966</w:t>
            </w:r>
          </w:p>
        </w:tc>
        <w:tc>
          <w:tcPr>
            <w:tcW w:w="1530" w:type="dxa"/>
          </w:tcPr>
          <w:p w:rsidR="00B250DC" w:rsidRDefault="00B250DC" w:rsidP="00C46BB6">
            <w:pPr>
              <w:rPr>
                <w:sz w:val="24"/>
                <w:szCs w:val="24"/>
              </w:rPr>
            </w:pPr>
            <w:r>
              <w:rPr>
                <w:sz w:val="24"/>
                <w:szCs w:val="24"/>
              </w:rPr>
              <w:t>0.407330</w:t>
            </w:r>
          </w:p>
        </w:tc>
        <w:tc>
          <w:tcPr>
            <w:tcW w:w="1260" w:type="dxa"/>
          </w:tcPr>
          <w:p w:rsidR="00B250DC" w:rsidRDefault="00B250DC" w:rsidP="00C46BB6">
            <w:pPr>
              <w:rPr>
                <w:sz w:val="24"/>
                <w:szCs w:val="24"/>
              </w:rPr>
            </w:pPr>
            <w:r>
              <w:rPr>
                <w:sz w:val="24"/>
                <w:szCs w:val="24"/>
              </w:rPr>
              <w:t>0.336497</w:t>
            </w:r>
          </w:p>
        </w:tc>
        <w:tc>
          <w:tcPr>
            <w:tcW w:w="1278" w:type="dxa"/>
          </w:tcPr>
          <w:p w:rsidR="00B250DC" w:rsidRDefault="00B250DC" w:rsidP="00C46BB6">
            <w:pPr>
              <w:rPr>
                <w:sz w:val="24"/>
                <w:szCs w:val="24"/>
              </w:rPr>
            </w:pPr>
            <w:r>
              <w:rPr>
                <w:sz w:val="24"/>
                <w:szCs w:val="24"/>
              </w:rPr>
              <w:t>0.68840</w:t>
            </w:r>
          </w:p>
        </w:tc>
      </w:tr>
      <w:tr w:rsidR="00B250DC" w:rsidTr="00C46BB6">
        <w:tc>
          <w:tcPr>
            <w:tcW w:w="3078" w:type="dxa"/>
          </w:tcPr>
          <w:p w:rsidR="00B250DC" w:rsidRDefault="00B250DC" w:rsidP="00C46BB6">
            <w:pPr>
              <w:rPr>
                <w:b/>
                <w:sz w:val="24"/>
                <w:szCs w:val="24"/>
              </w:rPr>
            </w:pPr>
            <w:r>
              <w:rPr>
                <w:b/>
                <w:sz w:val="24"/>
                <w:szCs w:val="24"/>
              </w:rPr>
              <w:t>Operating Margin ratio</w:t>
            </w:r>
          </w:p>
        </w:tc>
        <w:tc>
          <w:tcPr>
            <w:tcW w:w="1170" w:type="dxa"/>
          </w:tcPr>
          <w:p w:rsidR="00B250DC" w:rsidRDefault="00B250DC" w:rsidP="00C46BB6">
            <w:pPr>
              <w:rPr>
                <w:sz w:val="24"/>
                <w:szCs w:val="24"/>
              </w:rPr>
            </w:pPr>
            <w:r>
              <w:rPr>
                <w:sz w:val="24"/>
                <w:szCs w:val="24"/>
              </w:rPr>
              <w:t>0.517050</w:t>
            </w:r>
          </w:p>
        </w:tc>
        <w:tc>
          <w:tcPr>
            <w:tcW w:w="1260" w:type="dxa"/>
          </w:tcPr>
          <w:p w:rsidR="00B250DC" w:rsidRDefault="00B250DC" w:rsidP="00C46BB6">
            <w:pPr>
              <w:rPr>
                <w:sz w:val="24"/>
                <w:szCs w:val="24"/>
              </w:rPr>
            </w:pPr>
            <w:r>
              <w:rPr>
                <w:sz w:val="24"/>
                <w:szCs w:val="24"/>
              </w:rPr>
              <w:t>0.489190</w:t>
            </w:r>
          </w:p>
        </w:tc>
        <w:tc>
          <w:tcPr>
            <w:tcW w:w="1530" w:type="dxa"/>
          </w:tcPr>
          <w:p w:rsidR="00B250DC" w:rsidRDefault="00B250DC" w:rsidP="00C46BB6">
            <w:pPr>
              <w:rPr>
                <w:sz w:val="24"/>
                <w:szCs w:val="24"/>
              </w:rPr>
            </w:pPr>
            <w:r>
              <w:rPr>
                <w:sz w:val="24"/>
                <w:szCs w:val="24"/>
              </w:rPr>
              <w:t>0.478832</w:t>
            </w:r>
          </w:p>
        </w:tc>
        <w:tc>
          <w:tcPr>
            <w:tcW w:w="1260" w:type="dxa"/>
          </w:tcPr>
          <w:p w:rsidR="00B250DC" w:rsidRDefault="00B250DC" w:rsidP="00C46BB6">
            <w:pPr>
              <w:rPr>
                <w:sz w:val="24"/>
                <w:szCs w:val="24"/>
              </w:rPr>
            </w:pPr>
            <w:r>
              <w:rPr>
                <w:sz w:val="24"/>
                <w:szCs w:val="24"/>
              </w:rPr>
              <w:t>0.442295</w:t>
            </w:r>
          </w:p>
        </w:tc>
        <w:tc>
          <w:tcPr>
            <w:tcW w:w="1278" w:type="dxa"/>
          </w:tcPr>
          <w:p w:rsidR="00B250DC" w:rsidRDefault="00B250DC" w:rsidP="00C46BB6">
            <w:pPr>
              <w:rPr>
                <w:sz w:val="24"/>
                <w:szCs w:val="24"/>
              </w:rPr>
            </w:pPr>
            <w:r>
              <w:rPr>
                <w:sz w:val="24"/>
                <w:szCs w:val="24"/>
              </w:rPr>
              <w:t>0.44336</w:t>
            </w:r>
          </w:p>
        </w:tc>
      </w:tr>
      <w:tr w:rsidR="00AF61E5" w:rsidTr="00C46BB6">
        <w:tc>
          <w:tcPr>
            <w:tcW w:w="3078" w:type="dxa"/>
          </w:tcPr>
          <w:p w:rsidR="00AF61E5" w:rsidRPr="00821248" w:rsidRDefault="00AF61E5" w:rsidP="00935BB8">
            <w:pPr>
              <w:rPr>
                <w:b/>
                <w:sz w:val="24"/>
                <w:szCs w:val="24"/>
              </w:rPr>
            </w:pPr>
            <w:r w:rsidRPr="00821248">
              <w:rPr>
                <w:b/>
                <w:sz w:val="24"/>
                <w:szCs w:val="24"/>
              </w:rPr>
              <w:t>Asset Turnover Ratio</w:t>
            </w:r>
          </w:p>
        </w:tc>
        <w:tc>
          <w:tcPr>
            <w:tcW w:w="1170" w:type="dxa"/>
          </w:tcPr>
          <w:p w:rsidR="00AF61E5" w:rsidRDefault="00AF61E5" w:rsidP="00935BB8">
            <w:pPr>
              <w:rPr>
                <w:sz w:val="24"/>
                <w:szCs w:val="24"/>
              </w:rPr>
            </w:pPr>
            <w:r>
              <w:rPr>
                <w:sz w:val="24"/>
                <w:szCs w:val="24"/>
              </w:rPr>
              <w:t>0.04422</w:t>
            </w:r>
          </w:p>
        </w:tc>
        <w:tc>
          <w:tcPr>
            <w:tcW w:w="1260" w:type="dxa"/>
          </w:tcPr>
          <w:p w:rsidR="00AF61E5" w:rsidRDefault="00AF61E5" w:rsidP="00935BB8">
            <w:pPr>
              <w:rPr>
                <w:sz w:val="24"/>
                <w:szCs w:val="24"/>
              </w:rPr>
            </w:pPr>
            <w:r>
              <w:rPr>
                <w:sz w:val="24"/>
                <w:szCs w:val="24"/>
              </w:rPr>
              <w:t>0.04516</w:t>
            </w:r>
          </w:p>
        </w:tc>
        <w:tc>
          <w:tcPr>
            <w:tcW w:w="1530" w:type="dxa"/>
          </w:tcPr>
          <w:p w:rsidR="00AF61E5" w:rsidRDefault="00AF61E5" w:rsidP="00935BB8">
            <w:pPr>
              <w:rPr>
                <w:sz w:val="24"/>
                <w:szCs w:val="24"/>
              </w:rPr>
            </w:pPr>
            <w:r>
              <w:rPr>
                <w:sz w:val="24"/>
                <w:szCs w:val="24"/>
              </w:rPr>
              <w:t>0.04416</w:t>
            </w:r>
          </w:p>
        </w:tc>
        <w:tc>
          <w:tcPr>
            <w:tcW w:w="1260" w:type="dxa"/>
          </w:tcPr>
          <w:p w:rsidR="00AF61E5" w:rsidRDefault="00AF61E5" w:rsidP="00935BB8">
            <w:pPr>
              <w:rPr>
                <w:sz w:val="24"/>
                <w:szCs w:val="24"/>
              </w:rPr>
            </w:pPr>
            <w:r>
              <w:rPr>
                <w:sz w:val="24"/>
                <w:szCs w:val="24"/>
              </w:rPr>
              <w:t>0.043189</w:t>
            </w:r>
          </w:p>
        </w:tc>
        <w:tc>
          <w:tcPr>
            <w:tcW w:w="1278" w:type="dxa"/>
          </w:tcPr>
          <w:p w:rsidR="00AF61E5" w:rsidRDefault="00AF61E5" w:rsidP="00935BB8">
            <w:pPr>
              <w:rPr>
                <w:sz w:val="24"/>
                <w:szCs w:val="24"/>
              </w:rPr>
            </w:pPr>
            <w:r>
              <w:rPr>
                <w:sz w:val="24"/>
                <w:szCs w:val="24"/>
              </w:rPr>
              <w:t>0.04388</w:t>
            </w:r>
          </w:p>
        </w:tc>
      </w:tr>
      <w:tr w:rsidR="00B250DC" w:rsidTr="00C46BB6">
        <w:tc>
          <w:tcPr>
            <w:tcW w:w="3078" w:type="dxa"/>
          </w:tcPr>
          <w:p w:rsidR="00B250DC" w:rsidRDefault="00B250DC" w:rsidP="00C46BB6">
            <w:pPr>
              <w:rPr>
                <w:b/>
                <w:sz w:val="24"/>
                <w:szCs w:val="24"/>
              </w:rPr>
            </w:pPr>
            <w:r>
              <w:rPr>
                <w:b/>
                <w:sz w:val="24"/>
                <w:szCs w:val="24"/>
              </w:rPr>
              <w:t>Financial Leverage Ratio</w:t>
            </w:r>
          </w:p>
        </w:tc>
        <w:tc>
          <w:tcPr>
            <w:tcW w:w="1170" w:type="dxa"/>
          </w:tcPr>
          <w:p w:rsidR="00B250DC" w:rsidRDefault="00B250DC" w:rsidP="00C46BB6">
            <w:pPr>
              <w:rPr>
                <w:sz w:val="24"/>
                <w:szCs w:val="24"/>
              </w:rPr>
            </w:pPr>
            <w:r>
              <w:rPr>
                <w:sz w:val="24"/>
                <w:szCs w:val="24"/>
              </w:rPr>
              <w:t>11.0060</w:t>
            </w:r>
          </w:p>
        </w:tc>
        <w:tc>
          <w:tcPr>
            <w:tcW w:w="1260" w:type="dxa"/>
          </w:tcPr>
          <w:p w:rsidR="00B250DC" w:rsidRDefault="00B250DC" w:rsidP="00C46BB6">
            <w:pPr>
              <w:rPr>
                <w:sz w:val="24"/>
                <w:szCs w:val="24"/>
              </w:rPr>
            </w:pPr>
            <w:r>
              <w:rPr>
                <w:sz w:val="24"/>
                <w:szCs w:val="24"/>
              </w:rPr>
              <w:t>10.12008</w:t>
            </w:r>
          </w:p>
        </w:tc>
        <w:tc>
          <w:tcPr>
            <w:tcW w:w="1530" w:type="dxa"/>
          </w:tcPr>
          <w:p w:rsidR="00B250DC" w:rsidRDefault="00B250DC" w:rsidP="00C46BB6">
            <w:pPr>
              <w:rPr>
                <w:sz w:val="24"/>
                <w:szCs w:val="24"/>
              </w:rPr>
            </w:pPr>
            <w:r>
              <w:rPr>
                <w:sz w:val="24"/>
                <w:szCs w:val="24"/>
              </w:rPr>
              <w:t>10.7662</w:t>
            </w:r>
          </w:p>
        </w:tc>
        <w:tc>
          <w:tcPr>
            <w:tcW w:w="1260" w:type="dxa"/>
          </w:tcPr>
          <w:p w:rsidR="00B250DC" w:rsidRDefault="00B250DC" w:rsidP="00C46BB6">
            <w:pPr>
              <w:rPr>
                <w:sz w:val="24"/>
                <w:szCs w:val="24"/>
              </w:rPr>
            </w:pPr>
            <w:r>
              <w:rPr>
                <w:sz w:val="24"/>
                <w:szCs w:val="24"/>
              </w:rPr>
              <w:t>11.3843</w:t>
            </w:r>
          </w:p>
        </w:tc>
        <w:tc>
          <w:tcPr>
            <w:tcW w:w="1278" w:type="dxa"/>
          </w:tcPr>
          <w:p w:rsidR="00B250DC" w:rsidRDefault="00B250DC" w:rsidP="00C46BB6">
            <w:pPr>
              <w:rPr>
                <w:sz w:val="24"/>
                <w:szCs w:val="24"/>
              </w:rPr>
            </w:pPr>
            <w:r>
              <w:rPr>
                <w:sz w:val="24"/>
                <w:szCs w:val="24"/>
              </w:rPr>
              <w:t>11.2257</w:t>
            </w:r>
          </w:p>
        </w:tc>
      </w:tr>
      <w:tr w:rsidR="00B250DC" w:rsidTr="00C46BB6">
        <w:tc>
          <w:tcPr>
            <w:tcW w:w="3078" w:type="dxa"/>
          </w:tcPr>
          <w:p w:rsidR="00B250DC" w:rsidRDefault="00B250DC" w:rsidP="00C46BB6">
            <w:pPr>
              <w:rPr>
                <w:b/>
                <w:sz w:val="24"/>
                <w:szCs w:val="24"/>
              </w:rPr>
            </w:pPr>
            <w:r>
              <w:rPr>
                <w:b/>
                <w:sz w:val="24"/>
                <w:szCs w:val="24"/>
              </w:rPr>
              <w:t>ROE %</w:t>
            </w:r>
          </w:p>
        </w:tc>
        <w:tc>
          <w:tcPr>
            <w:tcW w:w="1170" w:type="dxa"/>
          </w:tcPr>
          <w:p w:rsidR="00B250DC" w:rsidRDefault="00B250DC" w:rsidP="00C46BB6">
            <w:pPr>
              <w:rPr>
                <w:sz w:val="24"/>
                <w:szCs w:val="24"/>
              </w:rPr>
            </w:pPr>
            <w:r>
              <w:rPr>
                <w:sz w:val="24"/>
                <w:szCs w:val="24"/>
              </w:rPr>
              <w:t>9.78</w:t>
            </w:r>
          </w:p>
        </w:tc>
        <w:tc>
          <w:tcPr>
            <w:tcW w:w="1260" w:type="dxa"/>
          </w:tcPr>
          <w:p w:rsidR="00B250DC" w:rsidRDefault="00B250DC" w:rsidP="00C46BB6">
            <w:pPr>
              <w:rPr>
                <w:sz w:val="24"/>
                <w:szCs w:val="24"/>
              </w:rPr>
            </w:pPr>
            <w:r>
              <w:rPr>
                <w:sz w:val="24"/>
                <w:szCs w:val="24"/>
              </w:rPr>
              <w:t>8.09</w:t>
            </w:r>
          </w:p>
        </w:tc>
        <w:tc>
          <w:tcPr>
            <w:tcW w:w="1530" w:type="dxa"/>
          </w:tcPr>
          <w:p w:rsidR="00B250DC" w:rsidRDefault="00B250DC" w:rsidP="00C46BB6">
            <w:pPr>
              <w:rPr>
                <w:sz w:val="24"/>
                <w:szCs w:val="24"/>
              </w:rPr>
            </w:pPr>
            <w:r>
              <w:rPr>
                <w:sz w:val="24"/>
                <w:szCs w:val="24"/>
              </w:rPr>
              <w:t>8.68</w:t>
            </w:r>
          </w:p>
        </w:tc>
        <w:tc>
          <w:tcPr>
            <w:tcW w:w="1260" w:type="dxa"/>
          </w:tcPr>
          <w:p w:rsidR="00B250DC" w:rsidRDefault="00B250DC" w:rsidP="00C46BB6">
            <w:pPr>
              <w:rPr>
                <w:sz w:val="24"/>
                <w:szCs w:val="24"/>
              </w:rPr>
            </w:pPr>
            <w:r>
              <w:rPr>
                <w:sz w:val="24"/>
                <w:szCs w:val="24"/>
              </w:rPr>
              <w:t>4.28</w:t>
            </w:r>
          </w:p>
        </w:tc>
        <w:tc>
          <w:tcPr>
            <w:tcW w:w="1278" w:type="dxa"/>
          </w:tcPr>
          <w:p w:rsidR="00B250DC" w:rsidRDefault="00B250DC" w:rsidP="00C46BB6">
            <w:pPr>
              <w:rPr>
                <w:sz w:val="24"/>
                <w:szCs w:val="24"/>
              </w:rPr>
            </w:pPr>
            <w:r>
              <w:rPr>
                <w:sz w:val="24"/>
                <w:szCs w:val="24"/>
              </w:rPr>
              <w:t>8.35</w:t>
            </w:r>
          </w:p>
        </w:tc>
      </w:tr>
    </w:tbl>
    <w:p w:rsidR="00B250DC" w:rsidRDefault="00B250DC" w:rsidP="0075584F">
      <w:pPr>
        <w:rPr>
          <w:sz w:val="24"/>
          <w:szCs w:val="24"/>
        </w:rPr>
      </w:pPr>
    </w:p>
    <w:p w:rsidR="008A1A78" w:rsidRPr="008A1A78" w:rsidRDefault="008A1A78" w:rsidP="0075584F">
      <w:pPr>
        <w:rPr>
          <w:sz w:val="24"/>
          <w:szCs w:val="24"/>
        </w:rPr>
      </w:pPr>
      <w:r w:rsidRPr="008A1A78">
        <w:rPr>
          <w:sz w:val="24"/>
          <w:szCs w:val="24"/>
        </w:rPr>
        <w:t xml:space="preserve">In five component segment, the two additional areas that might have the contribution to ROE are tax and interest burdens. </w:t>
      </w:r>
    </w:p>
    <w:p w:rsidR="004B3A64" w:rsidRPr="008A1A78" w:rsidRDefault="00C46BB6" w:rsidP="0075584F">
      <w:pPr>
        <w:rPr>
          <w:sz w:val="24"/>
          <w:szCs w:val="24"/>
        </w:rPr>
      </w:pPr>
      <w:r w:rsidRPr="00C46BB6">
        <w:rPr>
          <w:b/>
          <w:sz w:val="24"/>
          <w:szCs w:val="24"/>
        </w:rPr>
        <w:t>Tax burden</w:t>
      </w:r>
      <w:r>
        <w:rPr>
          <w:b/>
          <w:sz w:val="24"/>
          <w:szCs w:val="24"/>
        </w:rPr>
        <w:t xml:space="preserve">: </w:t>
      </w:r>
      <w:r>
        <w:rPr>
          <w:sz w:val="24"/>
          <w:szCs w:val="24"/>
        </w:rPr>
        <w:t xml:space="preserve">The first component is the tax burden which is the ratio of company’s net profit to earnings before taxes. Tax burden effectively equals 1 minus Tax Rate. A high tax burden means the company is keeping more </w:t>
      </w:r>
      <w:r w:rsidR="008A1A78">
        <w:rPr>
          <w:sz w:val="24"/>
          <w:szCs w:val="24"/>
        </w:rPr>
        <w:t>pretax</w:t>
      </w:r>
      <w:r>
        <w:rPr>
          <w:sz w:val="24"/>
          <w:szCs w:val="24"/>
        </w:rPr>
        <w:t xml:space="preserve"> income which results in higher ROE. A lower tax burden means the company is keep less </w:t>
      </w:r>
      <w:r w:rsidR="008A1A78">
        <w:rPr>
          <w:sz w:val="24"/>
          <w:szCs w:val="24"/>
        </w:rPr>
        <w:t>pretax</w:t>
      </w:r>
      <w:r>
        <w:rPr>
          <w:sz w:val="24"/>
          <w:szCs w:val="24"/>
        </w:rPr>
        <w:t xml:space="preserve"> profit which can result in lower ROE.</w:t>
      </w:r>
      <w:r w:rsidR="00804B6B">
        <w:rPr>
          <w:sz w:val="24"/>
          <w:szCs w:val="24"/>
        </w:rPr>
        <w:br/>
      </w:r>
      <w:r>
        <w:rPr>
          <w:sz w:val="24"/>
          <w:szCs w:val="24"/>
        </w:rPr>
        <w:t>In 2014 and 2015 PBL had a tax burden ratio around 0.7. In 2016 there was notable increase in tax burden ratio to 0.93 which was reduced significa</w:t>
      </w:r>
      <w:r w:rsidR="008A1A78">
        <w:rPr>
          <w:sz w:val="24"/>
          <w:szCs w:val="24"/>
        </w:rPr>
        <w:t xml:space="preserve">ntly to 0.5 in 2017 and 2018.  </w:t>
      </w:r>
    </w:p>
    <w:p w:rsidR="00804B6B" w:rsidRDefault="00C46BB6" w:rsidP="008A1A78">
      <w:pPr>
        <w:jc w:val="both"/>
        <w:rPr>
          <w:sz w:val="24"/>
          <w:szCs w:val="24"/>
        </w:rPr>
      </w:pPr>
      <w:r w:rsidRPr="00C46BB6">
        <w:rPr>
          <w:b/>
          <w:sz w:val="24"/>
          <w:szCs w:val="24"/>
        </w:rPr>
        <w:t xml:space="preserve">Interest Burden Ratio: </w:t>
      </w:r>
      <w:r>
        <w:rPr>
          <w:b/>
          <w:sz w:val="24"/>
          <w:szCs w:val="24"/>
        </w:rPr>
        <w:t xml:space="preserve"> </w:t>
      </w:r>
      <w:r>
        <w:rPr>
          <w:sz w:val="24"/>
          <w:szCs w:val="24"/>
        </w:rPr>
        <w:t xml:space="preserve">The second component is interest burden ratio which is the ratio of earnings before taxes to earnings before interest and taxes. It gives us the picture of EBIT leftover after subtraction of interest expense. If a company wants to achieve a high ROE it must </w:t>
      </w:r>
      <w:r>
        <w:rPr>
          <w:sz w:val="24"/>
          <w:szCs w:val="24"/>
        </w:rPr>
        <w:lastRenderedPageBreak/>
        <w:t>lower its interest expense so that EBT/EBIT ratio is high.</w:t>
      </w:r>
      <w:r w:rsidR="00804B6B">
        <w:rPr>
          <w:sz w:val="24"/>
          <w:szCs w:val="24"/>
        </w:rPr>
        <w:br/>
      </w:r>
      <w:r w:rsidR="002748BC">
        <w:rPr>
          <w:sz w:val="24"/>
          <w:szCs w:val="24"/>
        </w:rPr>
        <w:t>In 2014 PBL faced interest burden ratio of 0.53 which was reduced to 0.48 in 2015. We can also see PBL had a low interest burden ratio in the year 2017 which stood at 0.33 and had a significant rise in interest burden high ratio in 2018 which stood at 0.68.</w:t>
      </w:r>
    </w:p>
    <w:p w:rsidR="004518D8" w:rsidRPr="00FE3886" w:rsidRDefault="00935BB8" w:rsidP="0075584F">
      <w:pPr>
        <w:rPr>
          <w:b/>
          <w:sz w:val="24"/>
          <w:szCs w:val="24"/>
          <w:u w:val="single"/>
        </w:rPr>
      </w:pPr>
      <w:r>
        <w:rPr>
          <w:sz w:val="24"/>
          <w:szCs w:val="24"/>
        </w:rPr>
        <w:t>We can see changes in percen</w:t>
      </w:r>
      <w:r w:rsidR="008A1A78">
        <w:rPr>
          <w:sz w:val="24"/>
          <w:szCs w:val="24"/>
        </w:rPr>
        <w:t xml:space="preserve">tage from previous year to new </w:t>
      </w:r>
      <w:proofErr w:type="spellStart"/>
      <w:r w:rsidR="008A1A78">
        <w:rPr>
          <w:sz w:val="24"/>
          <w:szCs w:val="24"/>
        </w:rPr>
        <w:t>y</w:t>
      </w:r>
      <w:r>
        <w:rPr>
          <w:sz w:val="24"/>
          <w:szCs w:val="24"/>
        </w:rPr>
        <w:t>ears</w:t>
      </w:r>
      <w:proofErr w:type="spellEnd"/>
      <w:r>
        <w:rPr>
          <w:sz w:val="24"/>
          <w:szCs w:val="24"/>
        </w:rPr>
        <w:t>.</w:t>
      </w:r>
    </w:p>
    <w:tbl>
      <w:tblPr>
        <w:tblStyle w:val="TableGrid"/>
        <w:tblW w:w="9594" w:type="dxa"/>
        <w:tblLook w:val="04A0" w:firstRow="1" w:lastRow="0" w:firstColumn="1" w:lastColumn="0" w:noHBand="0" w:noVBand="1"/>
      </w:tblPr>
      <w:tblGrid>
        <w:gridCol w:w="3090"/>
        <w:gridCol w:w="1626"/>
        <w:gridCol w:w="1626"/>
        <w:gridCol w:w="1626"/>
        <w:gridCol w:w="1626"/>
      </w:tblGrid>
      <w:tr w:rsidR="00E4676A" w:rsidTr="00804B6B">
        <w:trPr>
          <w:trHeight w:val="1989"/>
        </w:trPr>
        <w:tc>
          <w:tcPr>
            <w:tcW w:w="3090" w:type="dxa"/>
          </w:tcPr>
          <w:p w:rsidR="00E4676A" w:rsidRPr="00B85808" w:rsidRDefault="00FE3886" w:rsidP="0075584F">
            <w:pPr>
              <w:rPr>
                <w:b/>
                <w:sz w:val="24"/>
                <w:szCs w:val="24"/>
              </w:rPr>
            </w:pPr>
            <w:r w:rsidRPr="00B85808">
              <w:rPr>
                <w:b/>
                <w:sz w:val="24"/>
                <w:szCs w:val="24"/>
              </w:rPr>
              <w:t>Elements</w:t>
            </w:r>
          </w:p>
        </w:tc>
        <w:tc>
          <w:tcPr>
            <w:tcW w:w="1626" w:type="dxa"/>
          </w:tcPr>
          <w:p w:rsidR="00E4676A" w:rsidRPr="00B85808" w:rsidRDefault="00FE3886" w:rsidP="0075584F">
            <w:pPr>
              <w:rPr>
                <w:b/>
                <w:sz w:val="24"/>
                <w:szCs w:val="24"/>
              </w:rPr>
            </w:pPr>
            <w:r w:rsidRPr="00B85808">
              <w:rPr>
                <w:b/>
                <w:sz w:val="24"/>
                <w:szCs w:val="24"/>
              </w:rPr>
              <w:t xml:space="preserve">% Change </w:t>
            </w:r>
            <w:r w:rsidR="002D2C56" w:rsidRPr="00B85808">
              <w:rPr>
                <w:b/>
                <w:sz w:val="24"/>
                <w:szCs w:val="24"/>
              </w:rPr>
              <w:t xml:space="preserve">From </w:t>
            </w:r>
            <w:r w:rsidR="00E4676A" w:rsidRPr="00B85808">
              <w:rPr>
                <w:b/>
                <w:sz w:val="24"/>
                <w:szCs w:val="24"/>
              </w:rPr>
              <w:t>2014 to 2015</w:t>
            </w:r>
          </w:p>
        </w:tc>
        <w:tc>
          <w:tcPr>
            <w:tcW w:w="1626" w:type="dxa"/>
          </w:tcPr>
          <w:p w:rsidR="00E4676A" w:rsidRPr="00B85808" w:rsidRDefault="00FE3886" w:rsidP="0075584F">
            <w:pPr>
              <w:rPr>
                <w:b/>
                <w:sz w:val="24"/>
                <w:szCs w:val="24"/>
              </w:rPr>
            </w:pPr>
            <w:r w:rsidRPr="00B85808">
              <w:rPr>
                <w:b/>
                <w:sz w:val="24"/>
                <w:szCs w:val="24"/>
              </w:rPr>
              <w:t xml:space="preserve">% Change </w:t>
            </w:r>
            <w:r w:rsidR="002D2C56" w:rsidRPr="00B85808">
              <w:rPr>
                <w:b/>
                <w:sz w:val="24"/>
                <w:szCs w:val="24"/>
              </w:rPr>
              <w:t xml:space="preserve">From </w:t>
            </w:r>
            <w:r w:rsidR="00E4676A" w:rsidRPr="00B85808">
              <w:rPr>
                <w:b/>
                <w:sz w:val="24"/>
                <w:szCs w:val="24"/>
              </w:rPr>
              <w:t>2015 to 2016</w:t>
            </w:r>
          </w:p>
        </w:tc>
        <w:tc>
          <w:tcPr>
            <w:tcW w:w="1626" w:type="dxa"/>
          </w:tcPr>
          <w:p w:rsidR="00E4676A" w:rsidRPr="00B85808" w:rsidRDefault="00FE3886" w:rsidP="0075584F">
            <w:pPr>
              <w:rPr>
                <w:b/>
                <w:sz w:val="24"/>
                <w:szCs w:val="24"/>
              </w:rPr>
            </w:pPr>
            <w:r w:rsidRPr="00B85808">
              <w:rPr>
                <w:b/>
                <w:sz w:val="24"/>
                <w:szCs w:val="24"/>
              </w:rPr>
              <w:t>% Change</w:t>
            </w:r>
            <w:r w:rsidR="00DE2B7C">
              <w:rPr>
                <w:b/>
                <w:sz w:val="24"/>
                <w:szCs w:val="24"/>
              </w:rPr>
              <w:t xml:space="preserve"> </w:t>
            </w:r>
            <w:r w:rsidRPr="00B85808">
              <w:rPr>
                <w:b/>
                <w:sz w:val="24"/>
                <w:szCs w:val="24"/>
              </w:rPr>
              <w:t>From</w:t>
            </w:r>
            <w:r w:rsidR="00DE2B7C">
              <w:rPr>
                <w:b/>
                <w:sz w:val="24"/>
                <w:szCs w:val="24"/>
              </w:rPr>
              <w:t xml:space="preserve"> </w:t>
            </w:r>
            <w:r w:rsidR="00E4676A" w:rsidRPr="00B85808">
              <w:rPr>
                <w:b/>
                <w:sz w:val="24"/>
                <w:szCs w:val="24"/>
              </w:rPr>
              <w:t>2016 to 2017</w:t>
            </w:r>
          </w:p>
        </w:tc>
        <w:tc>
          <w:tcPr>
            <w:tcW w:w="1626" w:type="dxa"/>
          </w:tcPr>
          <w:p w:rsidR="00FE3886" w:rsidRPr="00B85808" w:rsidRDefault="00FE3886" w:rsidP="00FE3886">
            <w:pPr>
              <w:rPr>
                <w:b/>
                <w:sz w:val="24"/>
                <w:szCs w:val="24"/>
              </w:rPr>
            </w:pPr>
            <w:r w:rsidRPr="00B85808">
              <w:rPr>
                <w:b/>
                <w:sz w:val="24"/>
                <w:szCs w:val="24"/>
              </w:rPr>
              <w:t>% Change</w:t>
            </w:r>
          </w:p>
          <w:p w:rsidR="00E4676A" w:rsidRDefault="00FE3886" w:rsidP="0075584F">
            <w:pPr>
              <w:rPr>
                <w:sz w:val="24"/>
                <w:szCs w:val="24"/>
              </w:rPr>
            </w:pPr>
            <w:r w:rsidRPr="00B85808">
              <w:rPr>
                <w:b/>
                <w:sz w:val="24"/>
                <w:szCs w:val="24"/>
              </w:rPr>
              <w:t xml:space="preserve">From </w:t>
            </w:r>
            <w:r w:rsidR="00E4676A" w:rsidRPr="00B85808">
              <w:rPr>
                <w:b/>
                <w:sz w:val="24"/>
                <w:szCs w:val="24"/>
              </w:rPr>
              <w:t>2017 to 2018</w:t>
            </w:r>
          </w:p>
        </w:tc>
      </w:tr>
      <w:tr w:rsidR="00E4676A" w:rsidTr="00804B6B">
        <w:trPr>
          <w:trHeight w:val="653"/>
        </w:trPr>
        <w:tc>
          <w:tcPr>
            <w:tcW w:w="3090" w:type="dxa"/>
          </w:tcPr>
          <w:p w:rsidR="00E4676A" w:rsidRDefault="00E4676A" w:rsidP="0075584F">
            <w:pPr>
              <w:rPr>
                <w:sz w:val="24"/>
                <w:szCs w:val="24"/>
              </w:rPr>
            </w:pPr>
            <w:r>
              <w:rPr>
                <w:sz w:val="24"/>
                <w:szCs w:val="24"/>
              </w:rPr>
              <w:t>NET Revenue</w:t>
            </w:r>
          </w:p>
        </w:tc>
        <w:tc>
          <w:tcPr>
            <w:tcW w:w="1626" w:type="dxa"/>
          </w:tcPr>
          <w:p w:rsidR="00E4676A" w:rsidRDefault="00E4676A" w:rsidP="0075584F">
            <w:pPr>
              <w:rPr>
                <w:sz w:val="24"/>
                <w:szCs w:val="24"/>
              </w:rPr>
            </w:pPr>
            <w:r>
              <w:rPr>
                <w:sz w:val="24"/>
                <w:szCs w:val="24"/>
              </w:rPr>
              <w:t>1.40</w:t>
            </w:r>
          </w:p>
        </w:tc>
        <w:tc>
          <w:tcPr>
            <w:tcW w:w="1626" w:type="dxa"/>
          </w:tcPr>
          <w:p w:rsidR="00E4676A" w:rsidRDefault="002D2C56" w:rsidP="0075584F">
            <w:pPr>
              <w:rPr>
                <w:sz w:val="24"/>
                <w:szCs w:val="24"/>
              </w:rPr>
            </w:pPr>
            <w:r>
              <w:rPr>
                <w:sz w:val="24"/>
                <w:szCs w:val="24"/>
              </w:rPr>
              <w:t>-0.41</w:t>
            </w:r>
          </w:p>
        </w:tc>
        <w:tc>
          <w:tcPr>
            <w:tcW w:w="1626" w:type="dxa"/>
          </w:tcPr>
          <w:p w:rsidR="00E4676A" w:rsidRDefault="007C2BB8" w:rsidP="0075584F">
            <w:pPr>
              <w:rPr>
                <w:sz w:val="24"/>
                <w:szCs w:val="24"/>
              </w:rPr>
            </w:pPr>
            <w:r>
              <w:rPr>
                <w:sz w:val="24"/>
                <w:szCs w:val="24"/>
              </w:rPr>
              <w:t>1.03</w:t>
            </w:r>
          </w:p>
        </w:tc>
        <w:tc>
          <w:tcPr>
            <w:tcW w:w="1626" w:type="dxa"/>
          </w:tcPr>
          <w:p w:rsidR="00E4676A" w:rsidRDefault="00B75DAA" w:rsidP="0075584F">
            <w:pPr>
              <w:rPr>
                <w:sz w:val="24"/>
                <w:szCs w:val="24"/>
              </w:rPr>
            </w:pPr>
            <w:r>
              <w:rPr>
                <w:sz w:val="24"/>
                <w:szCs w:val="24"/>
              </w:rPr>
              <w:t>6.18</w:t>
            </w:r>
          </w:p>
        </w:tc>
      </w:tr>
      <w:tr w:rsidR="00E4676A" w:rsidTr="00804B6B">
        <w:trPr>
          <w:trHeight w:val="683"/>
        </w:trPr>
        <w:tc>
          <w:tcPr>
            <w:tcW w:w="3090" w:type="dxa"/>
          </w:tcPr>
          <w:p w:rsidR="00E4676A" w:rsidRDefault="00E4676A" w:rsidP="0075584F">
            <w:pPr>
              <w:rPr>
                <w:sz w:val="24"/>
                <w:szCs w:val="24"/>
              </w:rPr>
            </w:pPr>
            <w:r>
              <w:rPr>
                <w:sz w:val="24"/>
                <w:szCs w:val="24"/>
              </w:rPr>
              <w:t>Net Profit</w:t>
            </w:r>
          </w:p>
        </w:tc>
        <w:tc>
          <w:tcPr>
            <w:tcW w:w="1626" w:type="dxa"/>
          </w:tcPr>
          <w:p w:rsidR="00E4676A" w:rsidRDefault="002D2C56" w:rsidP="0075584F">
            <w:pPr>
              <w:rPr>
                <w:sz w:val="24"/>
                <w:szCs w:val="24"/>
              </w:rPr>
            </w:pPr>
            <w:r>
              <w:rPr>
                <w:sz w:val="24"/>
                <w:szCs w:val="24"/>
              </w:rPr>
              <w:t>-10.61</w:t>
            </w:r>
          </w:p>
        </w:tc>
        <w:tc>
          <w:tcPr>
            <w:tcW w:w="1626" w:type="dxa"/>
          </w:tcPr>
          <w:p w:rsidR="00E4676A" w:rsidRDefault="002D2C56" w:rsidP="0075584F">
            <w:pPr>
              <w:rPr>
                <w:sz w:val="24"/>
                <w:szCs w:val="24"/>
              </w:rPr>
            </w:pPr>
            <w:r>
              <w:rPr>
                <w:sz w:val="24"/>
                <w:szCs w:val="24"/>
              </w:rPr>
              <w:t>2.61</w:t>
            </w:r>
          </w:p>
        </w:tc>
        <w:tc>
          <w:tcPr>
            <w:tcW w:w="1626" w:type="dxa"/>
          </w:tcPr>
          <w:p w:rsidR="00E4676A" w:rsidRDefault="007C2BB8" w:rsidP="0075584F">
            <w:pPr>
              <w:rPr>
                <w:sz w:val="24"/>
                <w:szCs w:val="24"/>
              </w:rPr>
            </w:pPr>
            <w:r>
              <w:rPr>
                <w:sz w:val="24"/>
                <w:szCs w:val="24"/>
              </w:rPr>
              <w:t>-51.79</w:t>
            </w:r>
          </w:p>
        </w:tc>
        <w:tc>
          <w:tcPr>
            <w:tcW w:w="1626" w:type="dxa"/>
          </w:tcPr>
          <w:p w:rsidR="00E4676A" w:rsidRDefault="00B75DAA" w:rsidP="0075584F">
            <w:pPr>
              <w:rPr>
                <w:sz w:val="24"/>
                <w:szCs w:val="24"/>
              </w:rPr>
            </w:pPr>
            <w:r>
              <w:rPr>
                <w:sz w:val="24"/>
                <w:szCs w:val="24"/>
              </w:rPr>
              <w:t>106.7</w:t>
            </w:r>
          </w:p>
        </w:tc>
      </w:tr>
      <w:tr w:rsidR="00E4676A" w:rsidTr="00804B6B">
        <w:trPr>
          <w:trHeight w:val="653"/>
        </w:trPr>
        <w:tc>
          <w:tcPr>
            <w:tcW w:w="3090" w:type="dxa"/>
          </w:tcPr>
          <w:p w:rsidR="00E4676A" w:rsidRDefault="00E4676A" w:rsidP="0075584F">
            <w:pPr>
              <w:rPr>
                <w:sz w:val="24"/>
                <w:szCs w:val="24"/>
              </w:rPr>
            </w:pPr>
            <w:r>
              <w:rPr>
                <w:sz w:val="24"/>
                <w:szCs w:val="24"/>
              </w:rPr>
              <w:t>Total Assets</w:t>
            </w:r>
          </w:p>
        </w:tc>
        <w:tc>
          <w:tcPr>
            <w:tcW w:w="1626" w:type="dxa"/>
          </w:tcPr>
          <w:p w:rsidR="00E4676A" w:rsidRDefault="002D2C56" w:rsidP="0075584F">
            <w:pPr>
              <w:rPr>
                <w:sz w:val="24"/>
                <w:szCs w:val="24"/>
              </w:rPr>
            </w:pPr>
            <w:r>
              <w:rPr>
                <w:sz w:val="24"/>
                <w:szCs w:val="24"/>
              </w:rPr>
              <w:t>-0.70</w:t>
            </w:r>
          </w:p>
        </w:tc>
        <w:tc>
          <w:tcPr>
            <w:tcW w:w="1626" w:type="dxa"/>
          </w:tcPr>
          <w:p w:rsidR="00E4676A" w:rsidRDefault="002D2C56" w:rsidP="002D2C56">
            <w:pPr>
              <w:rPr>
                <w:sz w:val="24"/>
                <w:szCs w:val="24"/>
              </w:rPr>
            </w:pPr>
            <w:r>
              <w:rPr>
                <w:sz w:val="24"/>
                <w:szCs w:val="24"/>
              </w:rPr>
              <w:t>1.83</w:t>
            </w:r>
          </w:p>
        </w:tc>
        <w:tc>
          <w:tcPr>
            <w:tcW w:w="1626" w:type="dxa"/>
          </w:tcPr>
          <w:p w:rsidR="00E4676A" w:rsidRDefault="007C2BB8" w:rsidP="0075584F">
            <w:pPr>
              <w:rPr>
                <w:sz w:val="24"/>
                <w:szCs w:val="24"/>
              </w:rPr>
            </w:pPr>
            <w:r>
              <w:rPr>
                <w:sz w:val="24"/>
                <w:szCs w:val="24"/>
              </w:rPr>
              <w:t>3.32</w:t>
            </w:r>
          </w:p>
        </w:tc>
        <w:tc>
          <w:tcPr>
            <w:tcW w:w="1626" w:type="dxa"/>
          </w:tcPr>
          <w:p w:rsidR="00E4676A" w:rsidRDefault="00B75DAA" w:rsidP="0075584F">
            <w:pPr>
              <w:rPr>
                <w:sz w:val="24"/>
                <w:szCs w:val="24"/>
              </w:rPr>
            </w:pPr>
            <w:r>
              <w:rPr>
                <w:sz w:val="24"/>
                <w:szCs w:val="24"/>
              </w:rPr>
              <w:t>4.48</w:t>
            </w:r>
          </w:p>
        </w:tc>
      </w:tr>
      <w:tr w:rsidR="00E4676A" w:rsidTr="00804B6B">
        <w:trPr>
          <w:trHeight w:val="653"/>
        </w:trPr>
        <w:tc>
          <w:tcPr>
            <w:tcW w:w="3090" w:type="dxa"/>
          </w:tcPr>
          <w:p w:rsidR="00E4676A" w:rsidRDefault="00E4676A" w:rsidP="0075584F">
            <w:pPr>
              <w:rPr>
                <w:sz w:val="24"/>
                <w:szCs w:val="24"/>
              </w:rPr>
            </w:pPr>
            <w:r>
              <w:rPr>
                <w:sz w:val="24"/>
                <w:szCs w:val="24"/>
              </w:rPr>
              <w:t>Total Equity</w:t>
            </w:r>
          </w:p>
        </w:tc>
        <w:tc>
          <w:tcPr>
            <w:tcW w:w="1626" w:type="dxa"/>
          </w:tcPr>
          <w:p w:rsidR="00E4676A" w:rsidRDefault="002D2C56" w:rsidP="0075584F">
            <w:pPr>
              <w:rPr>
                <w:sz w:val="24"/>
                <w:szCs w:val="24"/>
              </w:rPr>
            </w:pPr>
            <w:r>
              <w:rPr>
                <w:sz w:val="24"/>
                <w:szCs w:val="24"/>
              </w:rPr>
              <w:t>7.98</w:t>
            </w:r>
          </w:p>
        </w:tc>
        <w:tc>
          <w:tcPr>
            <w:tcW w:w="1626" w:type="dxa"/>
          </w:tcPr>
          <w:p w:rsidR="00E4676A" w:rsidRDefault="002D2C56" w:rsidP="0075584F">
            <w:pPr>
              <w:rPr>
                <w:sz w:val="24"/>
                <w:szCs w:val="24"/>
              </w:rPr>
            </w:pPr>
            <w:r>
              <w:rPr>
                <w:sz w:val="24"/>
                <w:szCs w:val="24"/>
              </w:rPr>
              <w:t>-4.27</w:t>
            </w:r>
          </w:p>
        </w:tc>
        <w:tc>
          <w:tcPr>
            <w:tcW w:w="1626" w:type="dxa"/>
          </w:tcPr>
          <w:p w:rsidR="00E4676A" w:rsidRDefault="007C2BB8" w:rsidP="0075584F">
            <w:pPr>
              <w:rPr>
                <w:sz w:val="24"/>
                <w:szCs w:val="24"/>
              </w:rPr>
            </w:pPr>
            <w:r>
              <w:rPr>
                <w:sz w:val="24"/>
                <w:szCs w:val="24"/>
              </w:rPr>
              <w:t>-2.28</w:t>
            </w:r>
          </w:p>
        </w:tc>
        <w:tc>
          <w:tcPr>
            <w:tcW w:w="1626" w:type="dxa"/>
          </w:tcPr>
          <w:p w:rsidR="00E4676A" w:rsidRDefault="00B75DAA" w:rsidP="0075584F">
            <w:pPr>
              <w:rPr>
                <w:sz w:val="24"/>
                <w:szCs w:val="24"/>
              </w:rPr>
            </w:pPr>
            <w:r>
              <w:rPr>
                <w:sz w:val="24"/>
                <w:szCs w:val="24"/>
              </w:rPr>
              <w:t>5.96</w:t>
            </w:r>
          </w:p>
        </w:tc>
      </w:tr>
      <w:tr w:rsidR="00E4676A" w:rsidTr="00804B6B">
        <w:trPr>
          <w:trHeight w:val="653"/>
        </w:trPr>
        <w:tc>
          <w:tcPr>
            <w:tcW w:w="3090" w:type="dxa"/>
          </w:tcPr>
          <w:p w:rsidR="00E4676A" w:rsidRDefault="00E4676A" w:rsidP="0075584F">
            <w:pPr>
              <w:rPr>
                <w:sz w:val="24"/>
                <w:szCs w:val="24"/>
              </w:rPr>
            </w:pPr>
            <w:r>
              <w:rPr>
                <w:sz w:val="24"/>
                <w:szCs w:val="24"/>
              </w:rPr>
              <w:t>EBIT</w:t>
            </w:r>
          </w:p>
        </w:tc>
        <w:tc>
          <w:tcPr>
            <w:tcW w:w="1626" w:type="dxa"/>
          </w:tcPr>
          <w:p w:rsidR="00E4676A" w:rsidRDefault="002D2C56" w:rsidP="0075584F">
            <w:pPr>
              <w:rPr>
                <w:sz w:val="24"/>
                <w:szCs w:val="24"/>
              </w:rPr>
            </w:pPr>
            <w:r>
              <w:rPr>
                <w:sz w:val="24"/>
                <w:szCs w:val="24"/>
              </w:rPr>
              <w:t>-4.06</w:t>
            </w:r>
          </w:p>
        </w:tc>
        <w:tc>
          <w:tcPr>
            <w:tcW w:w="1626" w:type="dxa"/>
          </w:tcPr>
          <w:p w:rsidR="00E4676A" w:rsidRDefault="002D2C56" w:rsidP="0075584F">
            <w:pPr>
              <w:rPr>
                <w:sz w:val="24"/>
                <w:szCs w:val="24"/>
              </w:rPr>
            </w:pPr>
            <w:r>
              <w:rPr>
                <w:sz w:val="24"/>
                <w:szCs w:val="24"/>
              </w:rPr>
              <w:t>-2.52</w:t>
            </w:r>
          </w:p>
        </w:tc>
        <w:tc>
          <w:tcPr>
            <w:tcW w:w="1626" w:type="dxa"/>
          </w:tcPr>
          <w:p w:rsidR="00E4676A" w:rsidRDefault="007C2BB8" w:rsidP="0075584F">
            <w:pPr>
              <w:rPr>
                <w:sz w:val="24"/>
                <w:szCs w:val="24"/>
              </w:rPr>
            </w:pPr>
            <w:r>
              <w:rPr>
                <w:sz w:val="24"/>
                <w:szCs w:val="24"/>
              </w:rPr>
              <w:t>-6.67</w:t>
            </w:r>
          </w:p>
        </w:tc>
        <w:tc>
          <w:tcPr>
            <w:tcW w:w="1626" w:type="dxa"/>
          </w:tcPr>
          <w:p w:rsidR="00E4676A" w:rsidRDefault="00B75DAA" w:rsidP="0075584F">
            <w:pPr>
              <w:rPr>
                <w:sz w:val="24"/>
                <w:szCs w:val="24"/>
              </w:rPr>
            </w:pPr>
            <w:r>
              <w:rPr>
                <w:sz w:val="24"/>
                <w:szCs w:val="24"/>
              </w:rPr>
              <w:t>6.43</w:t>
            </w:r>
          </w:p>
        </w:tc>
      </w:tr>
      <w:tr w:rsidR="00E4676A" w:rsidTr="00804B6B">
        <w:trPr>
          <w:trHeight w:val="653"/>
        </w:trPr>
        <w:tc>
          <w:tcPr>
            <w:tcW w:w="3090" w:type="dxa"/>
          </w:tcPr>
          <w:p w:rsidR="00E4676A" w:rsidRDefault="00E4676A" w:rsidP="0075584F">
            <w:pPr>
              <w:rPr>
                <w:sz w:val="24"/>
                <w:szCs w:val="24"/>
              </w:rPr>
            </w:pPr>
            <w:r>
              <w:rPr>
                <w:sz w:val="24"/>
                <w:szCs w:val="24"/>
              </w:rPr>
              <w:t>EBT</w:t>
            </w:r>
          </w:p>
        </w:tc>
        <w:tc>
          <w:tcPr>
            <w:tcW w:w="1626" w:type="dxa"/>
          </w:tcPr>
          <w:p w:rsidR="00E4676A" w:rsidRDefault="002D2C56" w:rsidP="0075584F">
            <w:pPr>
              <w:rPr>
                <w:sz w:val="24"/>
                <w:szCs w:val="24"/>
              </w:rPr>
            </w:pPr>
            <w:r>
              <w:rPr>
                <w:sz w:val="24"/>
                <w:szCs w:val="24"/>
              </w:rPr>
              <w:t>-16.09</w:t>
            </w:r>
          </w:p>
        </w:tc>
        <w:tc>
          <w:tcPr>
            <w:tcW w:w="1626" w:type="dxa"/>
          </w:tcPr>
          <w:p w:rsidR="00E4676A" w:rsidRDefault="004A06A2" w:rsidP="0075584F">
            <w:pPr>
              <w:rPr>
                <w:sz w:val="24"/>
                <w:szCs w:val="24"/>
              </w:rPr>
            </w:pPr>
            <w:r>
              <w:rPr>
                <w:sz w:val="24"/>
                <w:szCs w:val="24"/>
              </w:rPr>
              <w:t>-14.78</w:t>
            </w:r>
          </w:p>
        </w:tc>
        <w:tc>
          <w:tcPr>
            <w:tcW w:w="1626" w:type="dxa"/>
          </w:tcPr>
          <w:p w:rsidR="00E4676A" w:rsidRDefault="00E63CFB" w:rsidP="0075584F">
            <w:pPr>
              <w:rPr>
                <w:sz w:val="24"/>
                <w:szCs w:val="24"/>
              </w:rPr>
            </w:pPr>
            <w:r>
              <w:rPr>
                <w:sz w:val="24"/>
                <w:szCs w:val="24"/>
              </w:rPr>
              <w:t>-22.89</w:t>
            </w:r>
          </w:p>
        </w:tc>
        <w:tc>
          <w:tcPr>
            <w:tcW w:w="1626" w:type="dxa"/>
          </w:tcPr>
          <w:p w:rsidR="00E4676A" w:rsidRDefault="00B75DAA" w:rsidP="0075584F">
            <w:pPr>
              <w:rPr>
                <w:sz w:val="24"/>
                <w:szCs w:val="24"/>
              </w:rPr>
            </w:pPr>
            <w:r>
              <w:rPr>
                <w:sz w:val="24"/>
                <w:szCs w:val="24"/>
              </w:rPr>
              <w:t>117.75</w:t>
            </w:r>
          </w:p>
        </w:tc>
      </w:tr>
      <w:tr w:rsidR="00E4676A" w:rsidTr="00804B6B">
        <w:trPr>
          <w:trHeight w:val="653"/>
        </w:trPr>
        <w:tc>
          <w:tcPr>
            <w:tcW w:w="3090" w:type="dxa"/>
          </w:tcPr>
          <w:p w:rsidR="00E4676A" w:rsidRDefault="00E4676A" w:rsidP="0075584F">
            <w:pPr>
              <w:rPr>
                <w:sz w:val="24"/>
                <w:szCs w:val="24"/>
              </w:rPr>
            </w:pPr>
            <w:r>
              <w:rPr>
                <w:sz w:val="24"/>
                <w:szCs w:val="24"/>
              </w:rPr>
              <w:t>Tax Burden Ratio</w:t>
            </w:r>
          </w:p>
        </w:tc>
        <w:tc>
          <w:tcPr>
            <w:tcW w:w="1626" w:type="dxa"/>
          </w:tcPr>
          <w:p w:rsidR="00E4676A" w:rsidRDefault="002D2C56" w:rsidP="0075584F">
            <w:pPr>
              <w:rPr>
                <w:sz w:val="24"/>
                <w:szCs w:val="24"/>
              </w:rPr>
            </w:pPr>
            <w:r>
              <w:rPr>
                <w:sz w:val="24"/>
                <w:szCs w:val="24"/>
              </w:rPr>
              <w:t>6.53</w:t>
            </w:r>
          </w:p>
        </w:tc>
        <w:tc>
          <w:tcPr>
            <w:tcW w:w="1626" w:type="dxa"/>
          </w:tcPr>
          <w:p w:rsidR="00E4676A" w:rsidRDefault="004A06A2" w:rsidP="0075584F">
            <w:pPr>
              <w:rPr>
                <w:sz w:val="24"/>
                <w:szCs w:val="24"/>
              </w:rPr>
            </w:pPr>
            <w:r>
              <w:rPr>
                <w:sz w:val="24"/>
                <w:szCs w:val="24"/>
              </w:rPr>
              <w:t>20.42</w:t>
            </w:r>
          </w:p>
        </w:tc>
        <w:tc>
          <w:tcPr>
            <w:tcW w:w="1626" w:type="dxa"/>
          </w:tcPr>
          <w:p w:rsidR="00E4676A" w:rsidRDefault="00E63CFB" w:rsidP="0075584F">
            <w:pPr>
              <w:rPr>
                <w:sz w:val="24"/>
                <w:szCs w:val="24"/>
              </w:rPr>
            </w:pPr>
            <w:r>
              <w:rPr>
                <w:sz w:val="24"/>
                <w:szCs w:val="24"/>
              </w:rPr>
              <w:t>-37.48</w:t>
            </w:r>
          </w:p>
        </w:tc>
        <w:tc>
          <w:tcPr>
            <w:tcW w:w="1626" w:type="dxa"/>
          </w:tcPr>
          <w:p w:rsidR="00E4676A" w:rsidRDefault="00B75DAA" w:rsidP="0075584F">
            <w:pPr>
              <w:rPr>
                <w:sz w:val="24"/>
                <w:szCs w:val="24"/>
              </w:rPr>
            </w:pPr>
            <w:r>
              <w:rPr>
                <w:sz w:val="24"/>
                <w:szCs w:val="24"/>
              </w:rPr>
              <w:t>-5.15</w:t>
            </w:r>
          </w:p>
        </w:tc>
      </w:tr>
      <w:tr w:rsidR="00E4676A" w:rsidTr="00804B6B">
        <w:trPr>
          <w:trHeight w:val="653"/>
        </w:trPr>
        <w:tc>
          <w:tcPr>
            <w:tcW w:w="3090" w:type="dxa"/>
          </w:tcPr>
          <w:p w:rsidR="00E4676A" w:rsidRDefault="00E4676A" w:rsidP="0075584F">
            <w:pPr>
              <w:rPr>
                <w:sz w:val="24"/>
                <w:szCs w:val="24"/>
              </w:rPr>
            </w:pPr>
            <w:r>
              <w:rPr>
                <w:sz w:val="24"/>
                <w:szCs w:val="24"/>
              </w:rPr>
              <w:t>Interest Burden Ratio</w:t>
            </w:r>
          </w:p>
        </w:tc>
        <w:tc>
          <w:tcPr>
            <w:tcW w:w="1626" w:type="dxa"/>
          </w:tcPr>
          <w:p w:rsidR="00E4676A" w:rsidRDefault="002D2C56" w:rsidP="0075584F">
            <w:pPr>
              <w:rPr>
                <w:sz w:val="24"/>
                <w:szCs w:val="24"/>
              </w:rPr>
            </w:pPr>
            <w:r>
              <w:rPr>
                <w:sz w:val="24"/>
                <w:szCs w:val="24"/>
              </w:rPr>
              <w:t>-12.54</w:t>
            </w:r>
          </w:p>
        </w:tc>
        <w:tc>
          <w:tcPr>
            <w:tcW w:w="1626" w:type="dxa"/>
          </w:tcPr>
          <w:p w:rsidR="00E4676A" w:rsidRDefault="004A06A2" w:rsidP="0075584F">
            <w:pPr>
              <w:rPr>
                <w:sz w:val="24"/>
                <w:szCs w:val="24"/>
              </w:rPr>
            </w:pPr>
            <w:r>
              <w:rPr>
                <w:sz w:val="24"/>
                <w:szCs w:val="24"/>
              </w:rPr>
              <w:t>-12.58</w:t>
            </w:r>
          </w:p>
        </w:tc>
        <w:tc>
          <w:tcPr>
            <w:tcW w:w="1626" w:type="dxa"/>
          </w:tcPr>
          <w:p w:rsidR="00E4676A" w:rsidRDefault="00E63CFB" w:rsidP="0075584F">
            <w:pPr>
              <w:rPr>
                <w:sz w:val="24"/>
                <w:szCs w:val="24"/>
              </w:rPr>
            </w:pPr>
            <w:r>
              <w:rPr>
                <w:sz w:val="24"/>
                <w:szCs w:val="24"/>
              </w:rPr>
              <w:t>-17.38</w:t>
            </w:r>
          </w:p>
        </w:tc>
        <w:tc>
          <w:tcPr>
            <w:tcW w:w="1626" w:type="dxa"/>
          </w:tcPr>
          <w:p w:rsidR="00E4676A" w:rsidRDefault="00B75DAA" w:rsidP="0075584F">
            <w:pPr>
              <w:rPr>
                <w:sz w:val="24"/>
                <w:szCs w:val="24"/>
              </w:rPr>
            </w:pPr>
            <w:r>
              <w:rPr>
                <w:sz w:val="24"/>
                <w:szCs w:val="24"/>
              </w:rPr>
              <w:t>104.57</w:t>
            </w:r>
          </w:p>
        </w:tc>
      </w:tr>
      <w:tr w:rsidR="00E4676A" w:rsidTr="00804B6B">
        <w:trPr>
          <w:trHeight w:val="683"/>
        </w:trPr>
        <w:tc>
          <w:tcPr>
            <w:tcW w:w="3090" w:type="dxa"/>
          </w:tcPr>
          <w:p w:rsidR="00E4676A" w:rsidRDefault="00E4676A" w:rsidP="0075584F">
            <w:pPr>
              <w:rPr>
                <w:sz w:val="24"/>
                <w:szCs w:val="24"/>
              </w:rPr>
            </w:pPr>
            <w:r>
              <w:rPr>
                <w:sz w:val="24"/>
                <w:szCs w:val="24"/>
              </w:rPr>
              <w:t>Operating Margin Ratio</w:t>
            </w:r>
          </w:p>
        </w:tc>
        <w:tc>
          <w:tcPr>
            <w:tcW w:w="1626" w:type="dxa"/>
          </w:tcPr>
          <w:p w:rsidR="00E4676A" w:rsidRDefault="002D2C56" w:rsidP="0075584F">
            <w:pPr>
              <w:rPr>
                <w:sz w:val="24"/>
                <w:szCs w:val="24"/>
              </w:rPr>
            </w:pPr>
            <w:r>
              <w:rPr>
                <w:sz w:val="24"/>
                <w:szCs w:val="24"/>
              </w:rPr>
              <w:t>-5.38</w:t>
            </w:r>
          </w:p>
        </w:tc>
        <w:tc>
          <w:tcPr>
            <w:tcW w:w="1626" w:type="dxa"/>
          </w:tcPr>
          <w:p w:rsidR="00E4676A" w:rsidRDefault="004A06A2" w:rsidP="0075584F">
            <w:pPr>
              <w:rPr>
                <w:sz w:val="24"/>
                <w:szCs w:val="24"/>
              </w:rPr>
            </w:pPr>
            <w:r>
              <w:rPr>
                <w:sz w:val="24"/>
                <w:szCs w:val="24"/>
              </w:rPr>
              <w:t>-2.11</w:t>
            </w:r>
          </w:p>
        </w:tc>
        <w:tc>
          <w:tcPr>
            <w:tcW w:w="1626" w:type="dxa"/>
          </w:tcPr>
          <w:p w:rsidR="00E4676A" w:rsidRDefault="00E63CFB" w:rsidP="0075584F">
            <w:pPr>
              <w:rPr>
                <w:sz w:val="24"/>
                <w:szCs w:val="24"/>
              </w:rPr>
            </w:pPr>
            <w:r>
              <w:rPr>
                <w:sz w:val="24"/>
                <w:szCs w:val="24"/>
              </w:rPr>
              <w:t>-7.63</w:t>
            </w:r>
          </w:p>
        </w:tc>
        <w:tc>
          <w:tcPr>
            <w:tcW w:w="1626" w:type="dxa"/>
          </w:tcPr>
          <w:p w:rsidR="00E4676A" w:rsidRDefault="00B75DAA" w:rsidP="0075584F">
            <w:pPr>
              <w:rPr>
                <w:sz w:val="24"/>
                <w:szCs w:val="24"/>
              </w:rPr>
            </w:pPr>
            <w:r>
              <w:rPr>
                <w:sz w:val="24"/>
                <w:szCs w:val="24"/>
              </w:rPr>
              <w:t>0.24</w:t>
            </w:r>
          </w:p>
        </w:tc>
      </w:tr>
      <w:tr w:rsidR="00E4676A" w:rsidTr="00804B6B">
        <w:trPr>
          <w:trHeight w:val="653"/>
        </w:trPr>
        <w:tc>
          <w:tcPr>
            <w:tcW w:w="3090" w:type="dxa"/>
          </w:tcPr>
          <w:p w:rsidR="00E4676A" w:rsidRDefault="00E4676A" w:rsidP="0075584F">
            <w:pPr>
              <w:rPr>
                <w:sz w:val="24"/>
                <w:szCs w:val="24"/>
              </w:rPr>
            </w:pPr>
            <w:r>
              <w:rPr>
                <w:sz w:val="24"/>
                <w:szCs w:val="24"/>
              </w:rPr>
              <w:t>Asset Turnover Ratio</w:t>
            </w:r>
          </w:p>
        </w:tc>
        <w:tc>
          <w:tcPr>
            <w:tcW w:w="1626" w:type="dxa"/>
          </w:tcPr>
          <w:p w:rsidR="00E4676A" w:rsidRDefault="002D2C56" w:rsidP="0075584F">
            <w:pPr>
              <w:rPr>
                <w:sz w:val="24"/>
                <w:szCs w:val="24"/>
              </w:rPr>
            </w:pPr>
            <w:r>
              <w:rPr>
                <w:sz w:val="24"/>
                <w:szCs w:val="24"/>
              </w:rPr>
              <w:t>2.03</w:t>
            </w:r>
          </w:p>
        </w:tc>
        <w:tc>
          <w:tcPr>
            <w:tcW w:w="1626" w:type="dxa"/>
          </w:tcPr>
          <w:p w:rsidR="00E4676A" w:rsidRDefault="004A06A2" w:rsidP="0075584F">
            <w:pPr>
              <w:rPr>
                <w:sz w:val="24"/>
                <w:szCs w:val="24"/>
              </w:rPr>
            </w:pPr>
            <w:r>
              <w:rPr>
                <w:sz w:val="24"/>
                <w:szCs w:val="24"/>
              </w:rPr>
              <w:t>-2.21</w:t>
            </w:r>
          </w:p>
        </w:tc>
        <w:tc>
          <w:tcPr>
            <w:tcW w:w="1626" w:type="dxa"/>
          </w:tcPr>
          <w:p w:rsidR="00E4676A" w:rsidRDefault="00B75DAA" w:rsidP="0075584F">
            <w:pPr>
              <w:rPr>
                <w:sz w:val="24"/>
                <w:szCs w:val="24"/>
              </w:rPr>
            </w:pPr>
            <w:r>
              <w:rPr>
                <w:sz w:val="24"/>
                <w:szCs w:val="24"/>
              </w:rPr>
              <w:t>-2.06</w:t>
            </w:r>
          </w:p>
        </w:tc>
        <w:tc>
          <w:tcPr>
            <w:tcW w:w="1626" w:type="dxa"/>
          </w:tcPr>
          <w:p w:rsidR="00E4676A" w:rsidRDefault="00B75DAA" w:rsidP="0075584F">
            <w:pPr>
              <w:rPr>
                <w:sz w:val="24"/>
                <w:szCs w:val="24"/>
              </w:rPr>
            </w:pPr>
            <w:r>
              <w:rPr>
                <w:sz w:val="24"/>
                <w:szCs w:val="24"/>
              </w:rPr>
              <w:t>1.59</w:t>
            </w:r>
          </w:p>
        </w:tc>
      </w:tr>
      <w:tr w:rsidR="00E4676A" w:rsidTr="00804B6B">
        <w:trPr>
          <w:trHeight w:val="653"/>
        </w:trPr>
        <w:tc>
          <w:tcPr>
            <w:tcW w:w="3090" w:type="dxa"/>
          </w:tcPr>
          <w:p w:rsidR="00E4676A" w:rsidRDefault="00E4676A" w:rsidP="0075584F">
            <w:pPr>
              <w:rPr>
                <w:sz w:val="24"/>
                <w:szCs w:val="24"/>
              </w:rPr>
            </w:pPr>
            <w:r>
              <w:rPr>
                <w:sz w:val="24"/>
                <w:szCs w:val="24"/>
              </w:rPr>
              <w:t>Financial Leverage Ratio</w:t>
            </w:r>
          </w:p>
        </w:tc>
        <w:tc>
          <w:tcPr>
            <w:tcW w:w="1626" w:type="dxa"/>
          </w:tcPr>
          <w:p w:rsidR="00E4676A" w:rsidRDefault="002D2C56" w:rsidP="0075584F">
            <w:pPr>
              <w:rPr>
                <w:sz w:val="24"/>
                <w:szCs w:val="24"/>
              </w:rPr>
            </w:pPr>
            <w:r>
              <w:rPr>
                <w:sz w:val="24"/>
                <w:szCs w:val="24"/>
              </w:rPr>
              <w:t>-8.04</w:t>
            </w:r>
          </w:p>
        </w:tc>
        <w:tc>
          <w:tcPr>
            <w:tcW w:w="1626" w:type="dxa"/>
          </w:tcPr>
          <w:p w:rsidR="00E4676A" w:rsidRDefault="004A06A2" w:rsidP="0075584F">
            <w:pPr>
              <w:rPr>
                <w:sz w:val="24"/>
                <w:szCs w:val="24"/>
              </w:rPr>
            </w:pPr>
            <w:r>
              <w:rPr>
                <w:sz w:val="24"/>
                <w:szCs w:val="24"/>
              </w:rPr>
              <w:t>6.38</w:t>
            </w:r>
          </w:p>
        </w:tc>
        <w:tc>
          <w:tcPr>
            <w:tcW w:w="1626" w:type="dxa"/>
          </w:tcPr>
          <w:p w:rsidR="00E4676A" w:rsidRDefault="00B75DAA" w:rsidP="0075584F">
            <w:pPr>
              <w:rPr>
                <w:sz w:val="24"/>
                <w:szCs w:val="24"/>
              </w:rPr>
            </w:pPr>
            <w:r>
              <w:rPr>
                <w:sz w:val="24"/>
                <w:szCs w:val="24"/>
              </w:rPr>
              <w:t>5.74</w:t>
            </w:r>
          </w:p>
        </w:tc>
        <w:tc>
          <w:tcPr>
            <w:tcW w:w="1626" w:type="dxa"/>
          </w:tcPr>
          <w:p w:rsidR="00E4676A" w:rsidRDefault="00B75DAA" w:rsidP="0075584F">
            <w:pPr>
              <w:rPr>
                <w:sz w:val="24"/>
                <w:szCs w:val="24"/>
              </w:rPr>
            </w:pPr>
            <w:r>
              <w:rPr>
                <w:sz w:val="24"/>
                <w:szCs w:val="24"/>
              </w:rPr>
              <w:t>-1.39</w:t>
            </w:r>
          </w:p>
        </w:tc>
      </w:tr>
      <w:tr w:rsidR="002D2C56" w:rsidTr="00804B6B">
        <w:trPr>
          <w:trHeight w:val="683"/>
        </w:trPr>
        <w:tc>
          <w:tcPr>
            <w:tcW w:w="3090" w:type="dxa"/>
          </w:tcPr>
          <w:p w:rsidR="002D2C56" w:rsidRDefault="002D2C56" w:rsidP="0075584F">
            <w:pPr>
              <w:rPr>
                <w:sz w:val="24"/>
                <w:szCs w:val="24"/>
              </w:rPr>
            </w:pPr>
            <w:r>
              <w:rPr>
                <w:sz w:val="24"/>
                <w:szCs w:val="24"/>
              </w:rPr>
              <w:t>ROE</w:t>
            </w:r>
          </w:p>
        </w:tc>
        <w:tc>
          <w:tcPr>
            <w:tcW w:w="1626" w:type="dxa"/>
          </w:tcPr>
          <w:p w:rsidR="002D2C56" w:rsidRDefault="002D2C56" w:rsidP="0075584F">
            <w:pPr>
              <w:rPr>
                <w:sz w:val="24"/>
                <w:szCs w:val="24"/>
              </w:rPr>
            </w:pPr>
            <w:r>
              <w:rPr>
                <w:sz w:val="24"/>
                <w:szCs w:val="24"/>
              </w:rPr>
              <w:t>-17.28</w:t>
            </w:r>
          </w:p>
        </w:tc>
        <w:tc>
          <w:tcPr>
            <w:tcW w:w="1626" w:type="dxa"/>
          </w:tcPr>
          <w:p w:rsidR="002D2C56" w:rsidRDefault="004A06A2" w:rsidP="0075584F">
            <w:pPr>
              <w:rPr>
                <w:sz w:val="24"/>
                <w:szCs w:val="24"/>
              </w:rPr>
            </w:pPr>
            <w:r>
              <w:rPr>
                <w:sz w:val="24"/>
                <w:szCs w:val="24"/>
              </w:rPr>
              <w:t>7.29</w:t>
            </w:r>
          </w:p>
        </w:tc>
        <w:tc>
          <w:tcPr>
            <w:tcW w:w="1626" w:type="dxa"/>
          </w:tcPr>
          <w:p w:rsidR="002D2C56" w:rsidRDefault="00B75DAA" w:rsidP="0075584F">
            <w:pPr>
              <w:rPr>
                <w:sz w:val="24"/>
                <w:szCs w:val="24"/>
              </w:rPr>
            </w:pPr>
            <w:r>
              <w:rPr>
                <w:sz w:val="24"/>
                <w:szCs w:val="24"/>
              </w:rPr>
              <w:t>-50.69</w:t>
            </w:r>
          </w:p>
        </w:tc>
        <w:tc>
          <w:tcPr>
            <w:tcW w:w="1626" w:type="dxa"/>
          </w:tcPr>
          <w:p w:rsidR="002D2C56" w:rsidRDefault="00B75DAA" w:rsidP="0075584F">
            <w:pPr>
              <w:rPr>
                <w:sz w:val="24"/>
                <w:szCs w:val="24"/>
              </w:rPr>
            </w:pPr>
            <w:r>
              <w:rPr>
                <w:sz w:val="24"/>
                <w:szCs w:val="24"/>
              </w:rPr>
              <w:t>95.09</w:t>
            </w:r>
          </w:p>
        </w:tc>
      </w:tr>
    </w:tbl>
    <w:p w:rsidR="008A1A78" w:rsidRDefault="008A1A78" w:rsidP="0075584F">
      <w:pPr>
        <w:rPr>
          <w:sz w:val="24"/>
          <w:szCs w:val="24"/>
        </w:rPr>
      </w:pPr>
    </w:p>
    <w:p w:rsidR="004518D8" w:rsidRDefault="00F135D5" w:rsidP="0075584F">
      <w:pPr>
        <w:rPr>
          <w:b/>
          <w:sz w:val="32"/>
          <w:szCs w:val="32"/>
        </w:rPr>
      </w:pPr>
      <w:r>
        <w:rPr>
          <w:b/>
          <w:sz w:val="32"/>
          <w:szCs w:val="32"/>
        </w:rPr>
        <w:lastRenderedPageBreak/>
        <w:t>6</w:t>
      </w:r>
      <w:r w:rsidR="00324CFD">
        <w:rPr>
          <w:b/>
          <w:sz w:val="32"/>
          <w:szCs w:val="32"/>
        </w:rPr>
        <w:t xml:space="preserve">. </w:t>
      </w:r>
      <w:r w:rsidR="00324CFD" w:rsidRPr="00324CFD">
        <w:rPr>
          <w:b/>
          <w:sz w:val="32"/>
          <w:szCs w:val="32"/>
        </w:rPr>
        <w:t>Findings</w:t>
      </w:r>
      <w:r w:rsidR="003F442C">
        <w:rPr>
          <w:b/>
          <w:sz w:val="32"/>
          <w:szCs w:val="32"/>
        </w:rPr>
        <w:t xml:space="preserve"> and </w:t>
      </w:r>
      <w:r w:rsidR="00DE7E49">
        <w:rPr>
          <w:b/>
          <w:sz w:val="32"/>
          <w:szCs w:val="32"/>
        </w:rPr>
        <w:t>Conclusion</w:t>
      </w:r>
    </w:p>
    <w:p w:rsidR="003F442C" w:rsidRPr="00DE7E49" w:rsidRDefault="003F442C" w:rsidP="008A1A78">
      <w:pPr>
        <w:jc w:val="both"/>
        <w:rPr>
          <w:sz w:val="32"/>
          <w:szCs w:val="32"/>
        </w:rPr>
      </w:pPr>
      <w:r w:rsidRPr="00DE7E49">
        <w:rPr>
          <w:sz w:val="32"/>
          <w:szCs w:val="32"/>
        </w:rPr>
        <w:t>Findings:</w:t>
      </w:r>
    </w:p>
    <w:p w:rsidR="003E53A5" w:rsidRDefault="00324CFD" w:rsidP="008A1A78">
      <w:pPr>
        <w:jc w:val="both"/>
        <w:rPr>
          <w:sz w:val="24"/>
          <w:szCs w:val="24"/>
        </w:rPr>
      </w:pPr>
      <w:r>
        <w:rPr>
          <w:sz w:val="24"/>
          <w:szCs w:val="24"/>
        </w:rPr>
        <w:t xml:space="preserve">Every Business has ups and downs in their lifetime. It is normal for a company to face downturn after maturity period. In this report I have found some imperfections that Prime Bank has to overcome. Prime Bank ltd continued an attractive position after their establishment. I have done ratio analysis that will help PBL validate or disprove financing investment and operating decision. From this report we can say there </w:t>
      </w:r>
      <w:proofErr w:type="gramStart"/>
      <w:r>
        <w:rPr>
          <w:sz w:val="24"/>
          <w:szCs w:val="24"/>
        </w:rPr>
        <w:t>are</w:t>
      </w:r>
      <w:proofErr w:type="gramEnd"/>
      <w:r>
        <w:rPr>
          <w:sz w:val="24"/>
          <w:szCs w:val="24"/>
        </w:rPr>
        <w:t xml:space="preserve"> lacking that needs attention. </w:t>
      </w:r>
    </w:p>
    <w:p w:rsidR="003E53A5" w:rsidRDefault="00324CFD" w:rsidP="008A1A78">
      <w:pPr>
        <w:pStyle w:val="ListParagraph"/>
        <w:numPr>
          <w:ilvl w:val="0"/>
          <w:numId w:val="4"/>
        </w:numPr>
        <w:jc w:val="both"/>
        <w:rPr>
          <w:sz w:val="24"/>
          <w:szCs w:val="24"/>
        </w:rPr>
      </w:pPr>
      <w:r w:rsidRPr="003E53A5">
        <w:rPr>
          <w:sz w:val="24"/>
          <w:szCs w:val="24"/>
        </w:rPr>
        <w:t>The liquidity position of Prime Bank ltd such as Cash reserve Ratio</w:t>
      </w:r>
      <w:r w:rsidR="003F442C">
        <w:rPr>
          <w:sz w:val="24"/>
          <w:szCs w:val="24"/>
        </w:rPr>
        <w:t>, Current Ratio</w:t>
      </w:r>
      <w:r w:rsidRPr="003E53A5">
        <w:rPr>
          <w:sz w:val="24"/>
          <w:szCs w:val="24"/>
        </w:rPr>
        <w:t xml:space="preserve"> and SLR has gone low than before after the year 2014. </w:t>
      </w:r>
    </w:p>
    <w:p w:rsidR="003E53A5" w:rsidRPr="003E53A5" w:rsidRDefault="00324CFD" w:rsidP="008A1A78">
      <w:pPr>
        <w:pStyle w:val="ListParagraph"/>
        <w:numPr>
          <w:ilvl w:val="0"/>
          <w:numId w:val="4"/>
        </w:numPr>
        <w:jc w:val="both"/>
        <w:rPr>
          <w:sz w:val="24"/>
          <w:szCs w:val="24"/>
        </w:rPr>
      </w:pPr>
      <w:r w:rsidRPr="003E53A5">
        <w:rPr>
          <w:sz w:val="24"/>
          <w:szCs w:val="24"/>
        </w:rPr>
        <w:t>If we focus on Profitability ratios such as ROA and ROE we can say that in 2018</w:t>
      </w:r>
      <w:r w:rsidR="003E53A5">
        <w:rPr>
          <w:sz w:val="24"/>
          <w:szCs w:val="24"/>
        </w:rPr>
        <w:t xml:space="preserve"> and </w:t>
      </w:r>
      <w:proofErr w:type="gramStart"/>
      <w:r w:rsidR="003E53A5">
        <w:rPr>
          <w:sz w:val="24"/>
          <w:szCs w:val="24"/>
        </w:rPr>
        <w:t xml:space="preserve">2017 </w:t>
      </w:r>
      <w:r w:rsidRPr="003E53A5">
        <w:rPr>
          <w:sz w:val="24"/>
          <w:szCs w:val="24"/>
        </w:rPr>
        <w:t xml:space="preserve"> both</w:t>
      </w:r>
      <w:proofErr w:type="gramEnd"/>
      <w:r w:rsidRPr="003E53A5">
        <w:rPr>
          <w:sz w:val="24"/>
          <w:szCs w:val="24"/>
        </w:rPr>
        <w:t xml:space="preserve"> the ratios were not in a comfortable position compared to 2014. </w:t>
      </w:r>
    </w:p>
    <w:p w:rsidR="003E53A5" w:rsidRDefault="003E53A5" w:rsidP="008A1A78">
      <w:pPr>
        <w:pStyle w:val="ListParagraph"/>
        <w:numPr>
          <w:ilvl w:val="0"/>
          <w:numId w:val="4"/>
        </w:numPr>
        <w:jc w:val="both"/>
        <w:rPr>
          <w:sz w:val="24"/>
          <w:szCs w:val="24"/>
        </w:rPr>
      </w:pPr>
      <w:r>
        <w:rPr>
          <w:sz w:val="24"/>
          <w:szCs w:val="24"/>
        </w:rPr>
        <w:t>I</w:t>
      </w:r>
      <w:r w:rsidR="00324CFD" w:rsidRPr="003E53A5">
        <w:rPr>
          <w:sz w:val="24"/>
          <w:szCs w:val="24"/>
        </w:rPr>
        <w:t xml:space="preserve">f we look at the efficiency ratios the Net Interest Margin was good compared to previous years and kept a good operating efficiency in the following years. </w:t>
      </w:r>
    </w:p>
    <w:p w:rsidR="003E53A5" w:rsidRPr="003E53A5" w:rsidRDefault="003E53A5" w:rsidP="008A1A78">
      <w:pPr>
        <w:pStyle w:val="ListParagraph"/>
        <w:numPr>
          <w:ilvl w:val="0"/>
          <w:numId w:val="4"/>
        </w:numPr>
        <w:jc w:val="both"/>
        <w:rPr>
          <w:sz w:val="24"/>
          <w:szCs w:val="24"/>
        </w:rPr>
      </w:pPr>
      <w:r>
        <w:rPr>
          <w:sz w:val="24"/>
          <w:szCs w:val="24"/>
        </w:rPr>
        <w:t xml:space="preserve">Total Asset Turnover was </w:t>
      </w:r>
      <w:r w:rsidR="003F442C">
        <w:rPr>
          <w:sz w:val="24"/>
          <w:szCs w:val="24"/>
        </w:rPr>
        <w:t xml:space="preserve">low in 2018 compared to 2014  </w:t>
      </w:r>
    </w:p>
    <w:p w:rsidR="003E53A5" w:rsidRDefault="003E53A5" w:rsidP="008A1A78">
      <w:pPr>
        <w:pStyle w:val="ListParagraph"/>
        <w:numPr>
          <w:ilvl w:val="0"/>
          <w:numId w:val="4"/>
        </w:numPr>
        <w:jc w:val="both"/>
        <w:rPr>
          <w:sz w:val="24"/>
          <w:szCs w:val="24"/>
        </w:rPr>
      </w:pPr>
      <w:r>
        <w:rPr>
          <w:sz w:val="24"/>
          <w:szCs w:val="24"/>
        </w:rPr>
        <w:t>A</w:t>
      </w:r>
      <w:r w:rsidR="00567709" w:rsidRPr="003E53A5">
        <w:rPr>
          <w:sz w:val="24"/>
          <w:szCs w:val="24"/>
        </w:rPr>
        <w:t xml:space="preserve">ttractive </w:t>
      </w:r>
      <w:r w:rsidRPr="003E53A5">
        <w:rPr>
          <w:sz w:val="24"/>
          <w:szCs w:val="24"/>
        </w:rPr>
        <w:t xml:space="preserve">side is </w:t>
      </w:r>
      <w:r w:rsidR="00567709" w:rsidRPr="003E53A5">
        <w:rPr>
          <w:sz w:val="24"/>
          <w:szCs w:val="24"/>
        </w:rPr>
        <w:t>Non Performing Loan</w:t>
      </w:r>
      <w:r w:rsidRPr="003E53A5">
        <w:rPr>
          <w:sz w:val="24"/>
          <w:szCs w:val="24"/>
        </w:rPr>
        <w:t xml:space="preserve"> decreased every year. </w:t>
      </w:r>
    </w:p>
    <w:p w:rsidR="003E53A5" w:rsidRDefault="003E53A5" w:rsidP="008A1A78">
      <w:pPr>
        <w:pStyle w:val="ListParagraph"/>
        <w:numPr>
          <w:ilvl w:val="0"/>
          <w:numId w:val="4"/>
        </w:numPr>
        <w:jc w:val="both"/>
        <w:rPr>
          <w:sz w:val="24"/>
          <w:szCs w:val="24"/>
        </w:rPr>
      </w:pPr>
      <w:r w:rsidRPr="003E53A5">
        <w:rPr>
          <w:sz w:val="24"/>
          <w:szCs w:val="24"/>
        </w:rPr>
        <w:t>CRAR has been increasing every year.</w:t>
      </w:r>
      <w:r w:rsidR="00567709" w:rsidRPr="003E53A5">
        <w:rPr>
          <w:sz w:val="24"/>
          <w:szCs w:val="24"/>
        </w:rPr>
        <w:t xml:space="preserve"> </w:t>
      </w:r>
    </w:p>
    <w:p w:rsidR="003E53A5" w:rsidRDefault="003E53A5" w:rsidP="008A1A78">
      <w:pPr>
        <w:pStyle w:val="ListParagraph"/>
        <w:numPr>
          <w:ilvl w:val="0"/>
          <w:numId w:val="4"/>
        </w:numPr>
        <w:jc w:val="both"/>
        <w:rPr>
          <w:sz w:val="24"/>
          <w:szCs w:val="24"/>
        </w:rPr>
      </w:pPr>
      <w:r>
        <w:rPr>
          <w:sz w:val="24"/>
          <w:szCs w:val="24"/>
        </w:rPr>
        <w:t>PBL</w:t>
      </w:r>
      <w:r w:rsidR="00324CFD" w:rsidRPr="003E53A5">
        <w:rPr>
          <w:sz w:val="24"/>
          <w:szCs w:val="24"/>
        </w:rPr>
        <w:t xml:space="preserve"> </w:t>
      </w:r>
      <w:r>
        <w:rPr>
          <w:sz w:val="24"/>
          <w:szCs w:val="24"/>
        </w:rPr>
        <w:t>has</w:t>
      </w:r>
      <w:r w:rsidR="00324CFD" w:rsidRPr="003E53A5">
        <w:rPr>
          <w:sz w:val="24"/>
          <w:szCs w:val="24"/>
        </w:rPr>
        <w:t xml:space="preserve"> maintained a stable</w:t>
      </w:r>
      <w:r>
        <w:rPr>
          <w:sz w:val="24"/>
          <w:szCs w:val="24"/>
        </w:rPr>
        <w:t xml:space="preserve"> low</w:t>
      </w:r>
      <w:r w:rsidR="00324CFD" w:rsidRPr="003E53A5">
        <w:rPr>
          <w:sz w:val="24"/>
          <w:szCs w:val="24"/>
        </w:rPr>
        <w:t xml:space="preserve"> debt position. </w:t>
      </w:r>
    </w:p>
    <w:p w:rsidR="00324CFD" w:rsidRDefault="00324CFD" w:rsidP="008A1A78">
      <w:pPr>
        <w:pStyle w:val="ListParagraph"/>
        <w:numPr>
          <w:ilvl w:val="0"/>
          <w:numId w:val="4"/>
        </w:numPr>
        <w:jc w:val="both"/>
        <w:rPr>
          <w:sz w:val="24"/>
          <w:szCs w:val="24"/>
        </w:rPr>
      </w:pPr>
      <w:r w:rsidRPr="003E53A5">
        <w:rPr>
          <w:sz w:val="24"/>
          <w:szCs w:val="24"/>
        </w:rPr>
        <w:t>If we look at market value the price earnings ratio increased over the years but EPS has decreased compared to 2014.</w:t>
      </w:r>
      <w:r w:rsidR="00567709" w:rsidRPr="003E53A5">
        <w:rPr>
          <w:sz w:val="24"/>
          <w:szCs w:val="24"/>
        </w:rPr>
        <w:t xml:space="preserve"> </w:t>
      </w:r>
    </w:p>
    <w:p w:rsidR="008A1A78" w:rsidRDefault="008A1A78" w:rsidP="008A1A78">
      <w:pPr>
        <w:jc w:val="both"/>
        <w:rPr>
          <w:sz w:val="24"/>
          <w:szCs w:val="24"/>
        </w:rPr>
      </w:pPr>
    </w:p>
    <w:p w:rsidR="0002291A" w:rsidRPr="00DE7E49" w:rsidRDefault="0002291A" w:rsidP="008A1A78">
      <w:pPr>
        <w:jc w:val="both"/>
        <w:rPr>
          <w:sz w:val="32"/>
          <w:szCs w:val="32"/>
        </w:rPr>
      </w:pPr>
      <w:r w:rsidRPr="00DE7E49">
        <w:rPr>
          <w:sz w:val="32"/>
          <w:szCs w:val="32"/>
        </w:rPr>
        <w:t>Conclusion</w:t>
      </w:r>
      <w:r w:rsidR="00DE7E49">
        <w:rPr>
          <w:sz w:val="32"/>
          <w:szCs w:val="32"/>
        </w:rPr>
        <w:t>:</w:t>
      </w:r>
    </w:p>
    <w:p w:rsidR="0002291A" w:rsidRDefault="0002291A" w:rsidP="008A1A78">
      <w:pPr>
        <w:jc w:val="both"/>
        <w:rPr>
          <w:sz w:val="24"/>
          <w:szCs w:val="24"/>
        </w:rPr>
      </w:pPr>
      <w:r w:rsidRPr="0002291A">
        <w:rPr>
          <w:sz w:val="24"/>
          <w:szCs w:val="24"/>
        </w:rPr>
        <w:t>Banking industry is becoming very competi</w:t>
      </w:r>
      <w:r>
        <w:rPr>
          <w:sz w:val="24"/>
          <w:szCs w:val="24"/>
        </w:rPr>
        <w:t xml:space="preserve">tive day by day. The industry </w:t>
      </w:r>
      <w:r w:rsidR="008579E6">
        <w:rPr>
          <w:sz w:val="24"/>
          <w:szCs w:val="24"/>
        </w:rPr>
        <w:t xml:space="preserve">boomed in the last few decades and in the modern civilization banks are playing magnificent role to keep the economic development wheel moving. The primary task for most banks is to survive by managing assets and liabilities in an efficient way. </w:t>
      </w:r>
    </w:p>
    <w:p w:rsidR="008579E6" w:rsidRPr="0002291A" w:rsidRDefault="008579E6" w:rsidP="008A1A78">
      <w:pPr>
        <w:jc w:val="both"/>
        <w:rPr>
          <w:sz w:val="24"/>
          <w:szCs w:val="24"/>
        </w:rPr>
      </w:pPr>
      <w:r>
        <w:rPr>
          <w:sz w:val="24"/>
          <w:szCs w:val="24"/>
        </w:rPr>
        <w:t xml:space="preserve">From Performance evaluation of Prime Bank we can say that organization did well in their operations in their past years although there needs to be more attention on ROE and ROA. There are declines in the liquidity ratios such </w:t>
      </w:r>
      <w:r w:rsidR="00F50E87">
        <w:rPr>
          <w:sz w:val="24"/>
          <w:szCs w:val="24"/>
        </w:rPr>
        <w:t>cash reserve ratio, total asset turnover was fluctuating. On the positive side net interest margin was good for the bank</w:t>
      </w:r>
      <w:r>
        <w:rPr>
          <w:sz w:val="24"/>
          <w:szCs w:val="24"/>
        </w:rPr>
        <w:t xml:space="preserve"> </w:t>
      </w:r>
      <w:r w:rsidR="00F50E87">
        <w:rPr>
          <w:sz w:val="24"/>
          <w:szCs w:val="24"/>
        </w:rPr>
        <w:t>and kept a suitable debt position.</w:t>
      </w:r>
      <w:r w:rsidR="00DE7E49">
        <w:rPr>
          <w:sz w:val="24"/>
          <w:szCs w:val="24"/>
        </w:rPr>
        <w:t xml:space="preserve"> Although industry lost </w:t>
      </w:r>
      <w:r w:rsidR="00420276">
        <w:rPr>
          <w:sz w:val="24"/>
          <w:szCs w:val="24"/>
        </w:rPr>
        <w:t>some</w:t>
      </w:r>
      <w:r w:rsidR="00DE7E49">
        <w:rPr>
          <w:sz w:val="24"/>
          <w:szCs w:val="24"/>
        </w:rPr>
        <w:t xml:space="preserve"> of its momentum due increasing </w:t>
      </w:r>
      <w:r w:rsidR="00AF3D6A">
        <w:rPr>
          <w:sz w:val="24"/>
          <w:szCs w:val="24"/>
        </w:rPr>
        <w:t>rate of non-performing loan</w:t>
      </w:r>
      <w:r w:rsidR="00DE7E49">
        <w:rPr>
          <w:sz w:val="24"/>
          <w:szCs w:val="24"/>
        </w:rPr>
        <w:t xml:space="preserve"> Prime Bank always tried its level best to maintain low </w:t>
      </w:r>
      <w:r w:rsidR="000F7DFF">
        <w:rPr>
          <w:sz w:val="24"/>
          <w:szCs w:val="24"/>
        </w:rPr>
        <w:t>non-performing</w:t>
      </w:r>
      <w:r w:rsidR="00DE7E49">
        <w:rPr>
          <w:sz w:val="24"/>
          <w:szCs w:val="24"/>
        </w:rPr>
        <w:t xml:space="preserve"> loan rate.</w:t>
      </w:r>
      <w:r w:rsidR="00265C4C">
        <w:rPr>
          <w:sz w:val="24"/>
          <w:szCs w:val="24"/>
        </w:rPr>
        <w:t xml:space="preserve"> </w:t>
      </w:r>
      <w:r w:rsidR="00AF3D6A">
        <w:rPr>
          <w:sz w:val="24"/>
          <w:szCs w:val="24"/>
        </w:rPr>
        <w:t xml:space="preserve">CRAR has also been increasing for the bank. </w:t>
      </w:r>
      <w:r w:rsidR="00265C4C">
        <w:rPr>
          <w:sz w:val="24"/>
          <w:szCs w:val="24"/>
        </w:rPr>
        <w:t xml:space="preserve">Bank has been able to maintain good operating efficiency. Price earnings also increased for the bank. Prime Bank has opportunities to </w:t>
      </w:r>
      <w:r w:rsidR="00265C4C">
        <w:rPr>
          <w:sz w:val="24"/>
          <w:szCs w:val="24"/>
        </w:rPr>
        <w:lastRenderedPageBreak/>
        <w:t>do well with their efficient management and must find their own ways to sustain in the changing environment.</w:t>
      </w:r>
    </w:p>
    <w:p w:rsidR="009E1FC9" w:rsidRDefault="009E1FC9" w:rsidP="009E1FC9">
      <w:pPr>
        <w:rPr>
          <w:sz w:val="24"/>
          <w:szCs w:val="24"/>
        </w:rPr>
      </w:pPr>
    </w:p>
    <w:p w:rsidR="00DE7E49" w:rsidRDefault="00DE7E49" w:rsidP="009E1FC9">
      <w:pPr>
        <w:rPr>
          <w:sz w:val="24"/>
          <w:szCs w:val="24"/>
        </w:rPr>
      </w:pPr>
    </w:p>
    <w:p w:rsidR="00420276" w:rsidRDefault="00420276" w:rsidP="009E1FC9">
      <w:pPr>
        <w:rPr>
          <w:sz w:val="24"/>
          <w:szCs w:val="24"/>
        </w:rPr>
      </w:pPr>
    </w:p>
    <w:p w:rsidR="00DE7E49" w:rsidRDefault="00DE7E49" w:rsidP="00DE7E49">
      <w:pPr>
        <w:rPr>
          <w:sz w:val="24"/>
          <w:szCs w:val="24"/>
        </w:rPr>
      </w:pPr>
      <w:r>
        <w:rPr>
          <w:sz w:val="24"/>
          <w:szCs w:val="24"/>
        </w:rPr>
        <w:t>References</w:t>
      </w:r>
    </w:p>
    <w:p w:rsidR="00DE7E49" w:rsidRDefault="00017699" w:rsidP="00DE7E49">
      <w:pPr>
        <w:rPr>
          <w:sz w:val="24"/>
          <w:szCs w:val="24"/>
        </w:rPr>
      </w:pPr>
      <w:hyperlink r:id="rId29" w:history="1">
        <w:r w:rsidR="00DE7E49">
          <w:rPr>
            <w:rStyle w:val="Hyperlink"/>
          </w:rPr>
          <w:t>https://www.primebank.com.bd/</w:t>
        </w:r>
      </w:hyperlink>
    </w:p>
    <w:p w:rsidR="00DE7E49" w:rsidRPr="009E1FC9" w:rsidRDefault="00017699" w:rsidP="00DE7E49">
      <w:pPr>
        <w:rPr>
          <w:sz w:val="24"/>
          <w:szCs w:val="24"/>
        </w:rPr>
      </w:pPr>
      <w:hyperlink r:id="rId30" w:history="1">
        <w:r w:rsidR="00DE7E49" w:rsidRPr="00887899">
          <w:rPr>
            <w:rStyle w:val="Hyperlink"/>
          </w:rPr>
          <w:t>https://www.primebank.com.bd/index.php/home/financial_reports</w:t>
        </w:r>
      </w:hyperlink>
    </w:p>
    <w:sectPr w:rsidR="00DE7E49" w:rsidRPr="009E1FC9" w:rsidSect="00B93E0C">
      <w:footerReference w:type="default" r:id="rId3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7699" w:rsidRDefault="00017699" w:rsidP="007B5CB3">
      <w:pPr>
        <w:spacing w:after="0" w:line="240" w:lineRule="auto"/>
      </w:pPr>
      <w:r>
        <w:separator/>
      </w:r>
    </w:p>
  </w:endnote>
  <w:endnote w:type="continuationSeparator" w:id="0">
    <w:p w:rsidR="00017699" w:rsidRDefault="00017699" w:rsidP="007B5C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24558"/>
      <w:docPartObj>
        <w:docPartGallery w:val="Page Numbers (Bottom of Page)"/>
        <w:docPartUnique/>
      </w:docPartObj>
    </w:sdtPr>
    <w:sdtEndPr/>
    <w:sdtContent>
      <w:p w:rsidR="009577C4" w:rsidRDefault="009577C4">
        <w:pPr>
          <w:pStyle w:val="Footer"/>
          <w:jc w:val="right"/>
        </w:pPr>
        <w:r>
          <w:fldChar w:fldCharType="begin"/>
        </w:r>
        <w:r>
          <w:instrText xml:space="preserve"> PAGE   \* MERGEFORMAT </w:instrText>
        </w:r>
        <w:r>
          <w:fldChar w:fldCharType="separate"/>
        </w:r>
        <w:r w:rsidR="00F92668">
          <w:rPr>
            <w:noProof/>
          </w:rPr>
          <w:t>4</w:t>
        </w:r>
        <w:r>
          <w:rPr>
            <w:noProof/>
          </w:rPr>
          <w:fldChar w:fldCharType="end"/>
        </w:r>
      </w:p>
    </w:sdtContent>
  </w:sdt>
  <w:p w:rsidR="009577C4" w:rsidRDefault="009577C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7699" w:rsidRDefault="00017699" w:rsidP="007B5CB3">
      <w:pPr>
        <w:spacing w:after="0" w:line="240" w:lineRule="auto"/>
      </w:pPr>
      <w:r>
        <w:separator/>
      </w:r>
    </w:p>
  </w:footnote>
  <w:footnote w:type="continuationSeparator" w:id="0">
    <w:p w:rsidR="00017699" w:rsidRDefault="00017699" w:rsidP="007B5CB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B615A6"/>
    <w:multiLevelType w:val="hybridMultilevel"/>
    <w:tmpl w:val="5DEC8A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B755C3D"/>
    <w:multiLevelType w:val="hybridMultilevel"/>
    <w:tmpl w:val="C0EA4D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4E45E87"/>
    <w:multiLevelType w:val="hybridMultilevel"/>
    <w:tmpl w:val="364C68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70046BD"/>
    <w:multiLevelType w:val="hybridMultilevel"/>
    <w:tmpl w:val="E27C38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FC87019"/>
    <w:multiLevelType w:val="hybridMultilevel"/>
    <w:tmpl w:val="64C68E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722421FE"/>
    <w:multiLevelType w:val="hybridMultilevel"/>
    <w:tmpl w:val="727C8C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5"/>
  </w:num>
  <w:num w:numId="4">
    <w:abstractNumId w:val="1"/>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833A36"/>
    <w:rsid w:val="00011345"/>
    <w:rsid w:val="00015D15"/>
    <w:rsid w:val="00015D61"/>
    <w:rsid w:val="00017699"/>
    <w:rsid w:val="0002291A"/>
    <w:rsid w:val="00050B35"/>
    <w:rsid w:val="0006739C"/>
    <w:rsid w:val="0009356E"/>
    <w:rsid w:val="000A0E84"/>
    <w:rsid w:val="000A7E81"/>
    <w:rsid w:val="000B3210"/>
    <w:rsid w:val="000C77D9"/>
    <w:rsid w:val="000D1B52"/>
    <w:rsid w:val="000D6770"/>
    <w:rsid w:val="000D6829"/>
    <w:rsid w:val="000F616E"/>
    <w:rsid w:val="000F7DFF"/>
    <w:rsid w:val="00103840"/>
    <w:rsid w:val="00103E99"/>
    <w:rsid w:val="00106D35"/>
    <w:rsid w:val="0011611C"/>
    <w:rsid w:val="00127653"/>
    <w:rsid w:val="0014176F"/>
    <w:rsid w:val="00143DF6"/>
    <w:rsid w:val="00151ABF"/>
    <w:rsid w:val="00155110"/>
    <w:rsid w:val="00157B68"/>
    <w:rsid w:val="00167F8B"/>
    <w:rsid w:val="00176B19"/>
    <w:rsid w:val="001858A5"/>
    <w:rsid w:val="00194845"/>
    <w:rsid w:val="001A7A2F"/>
    <w:rsid w:val="001B2261"/>
    <w:rsid w:val="001B320D"/>
    <w:rsid w:val="001C18C5"/>
    <w:rsid w:val="001D332C"/>
    <w:rsid w:val="001E2D4B"/>
    <w:rsid w:val="001F3A9A"/>
    <w:rsid w:val="00202AF6"/>
    <w:rsid w:val="00203398"/>
    <w:rsid w:val="00206292"/>
    <w:rsid w:val="00224CB7"/>
    <w:rsid w:val="00232D41"/>
    <w:rsid w:val="00233BA6"/>
    <w:rsid w:val="002357AB"/>
    <w:rsid w:val="002622FD"/>
    <w:rsid w:val="00265C4C"/>
    <w:rsid w:val="002738B6"/>
    <w:rsid w:val="002748BC"/>
    <w:rsid w:val="002825CC"/>
    <w:rsid w:val="002849DD"/>
    <w:rsid w:val="00285BDA"/>
    <w:rsid w:val="002926A0"/>
    <w:rsid w:val="00296062"/>
    <w:rsid w:val="002A2733"/>
    <w:rsid w:val="002A5C88"/>
    <w:rsid w:val="002A7556"/>
    <w:rsid w:val="002B28E3"/>
    <w:rsid w:val="002B5668"/>
    <w:rsid w:val="002B64BB"/>
    <w:rsid w:val="002C1220"/>
    <w:rsid w:val="002D2C56"/>
    <w:rsid w:val="002D5FE1"/>
    <w:rsid w:val="002E15F7"/>
    <w:rsid w:val="002E71C4"/>
    <w:rsid w:val="00303457"/>
    <w:rsid w:val="00323180"/>
    <w:rsid w:val="00324755"/>
    <w:rsid w:val="00324CFD"/>
    <w:rsid w:val="0032643D"/>
    <w:rsid w:val="00330295"/>
    <w:rsid w:val="00331F32"/>
    <w:rsid w:val="00351015"/>
    <w:rsid w:val="0035691C"/>
    <w:rsid w:val="00356C0F"/>
    <w:rsid w:val="003607A3"/>
    <w:rsid w:val="0036384C"/>
    <w:rsid w:val="00366CA7"/>
    <w:rsid w:val="003712EA"/>
    <w:rsid w:val="00372223"/>
    <w:rsid w:val="00383420"/>
    <w:rsid w:val="003E3F80"/>
    <w:rsid w:val="003E53A5"/>
    <w:rsid w:val="003E6923"/>
    <w:rsid w:val="003F442C"/>
    <w:rsid w:val="004006E0"/>
    <w:rsid w:val="00401017"/>
    <w:rsid w:val="0040471D"/>
    <w:rsid w:val="00404D2A"/>
    <w:rsid w:val="00416EE8"/>
    <w:rsid w:val="00420276"/>
    <w:rsid w:val="00427135"/>
    <w:rsid w:val="0043249E"/>
    <w:rsid w:val="004518D8"/>
    <w:rsid w:val="004556D6"/>
    <w:rsid w:val="004606E8"/>
    <w:rsid w:val="00460AE0"/>
    <w:rsid w:val="00471D59"/>
    <w:rsid w:val="004735A0"/>
    <w:rsid w:val="00475533"/>
    <w:rsid w:val="00476921"/>
    <w:rsid w:val="00492BD5"/>
    <w:rsid w:val="004A0651"/>
    <w:rsid w:val="004A06A2"/>
    <w:rsid w:val="004A144B"/>
    <w:rsid w:val="004B3A64"/>
    <w:rsid w:val="004B3FCE"/>
    <w:rsid w:val="004B700A"/>
    <w:rsid w:val="004D25B6"/>
    <w:rsid w:val="004D783D"/>
    <w:rsid w:val="004E19CB"/>
    <w:rsid w:val="004E6F4A"/>
    <w:rsid w:val="00503058"/>
    <w:rsid w:val="00520590"/>
    <w:rsid w:val="005320B6"/>
    <w:rsid w:val="00534F2A"/>
    <w:rsid w:val="00536A45"/>
    <w:rsid w:val="005379E2"/>
    <w:rsid w:val="00551601"/>
    <w:rsid w:val="00554579"/>
    <w:rsid w:val="005564F1"/>
    <w:rsid w:val="00567709"/>
    <w:rsid w:val="00574015"/>
    <w:rsid w:val="0057685C"/>
    <w:rsid w:val="005A03E2"/>
    <w:rsid w:val="005B5872"/>
    <w:rsid w:val="005C07D1"/>
    <w:rsid w:val="005F1E18"/>
    <w:rsid w:val="005F490F"/>
    <w:rsid w:val="00625224"/>
    <w:rsid w:val="006342B5"/>
    <w:rsid w:val="00635921"/>
    <w:rsid w:val="006448DE"/>
    <w:rsid w:val="006505AF"/>
    <w:rsid w:val="00665679"/>
    <w:rsid w:val="00675ECA"/>
    <w:rsid w:val="00686300"/>
    <w:rsid w:val="00691FF0"/>
    <w:rsid w:val="006B30B2"/>
    <w:rsid w:val="006B4E2A"/>
    <w:rsid w:val="006D564D"/>
    <w:rsid w:val="006E6D01"/>
    <w:rsid w:val="006E78A4"/>
    <w:rsid w:val="006F5DC6"/>
    <w:rsid w:val="006F6ACD"/>
    <w:rsid w:val="006F6D55"/>
    <w:rsid w:val="007011B4"/>
    <w:rsid w:val="00721EE6"/>
    <w:rsid w:val="0075032D"/>
    <w:rsid w:val="0075584F"/>
    <w:rsid w:val="00755A5D"/>
    <w:rsid w:val="00771DD9"/>
    <w:rsid w:val="007758D0"/>
    <w:rsid w:val="00785926"/>
    <w:rsid w:val="00785E38"/>
    <w:rsid w:val="0078793F"/>
    <w:rsid w:val="007A2415"/>
    <w:rsid w:val="007B263F"/>
    <w:rsid w:val="007B5CB3"/>
    <w:rsid w:val="007B7628"/>
    <w:rsid w:val="007C2BB8"/>
    <w:rsid w:val="007E4C11"/>
    <w:rsid w:val="00802868"/>
    <w:rsid w:val="00804822"/>
    <w:rsid w:val="00804B6B"/>
    <w:rsid w:val="00820F85"/>
    <w:rsid w:val="00821248"/>
    <w:rsid w:val="00833A36"/>
    <w:rsid w:val="00853F72"/>
    <w:rsid w:val="00856998"/>
    <w:rsid w:val="008579E6"/>
    <w:rsid w:val="00866C8E"/>
    <w:rsid w:val="0087237A"/>
    <w:rsid w:val="00873DF9"/>
    <w:rsid w:val="0087594D"/>
    <w:rsid w:val="0088337B"/>
    <w:rsid w:val="008A1A78"/>
    <w:rsid w:val="008A294B"/>
    <w:rsid w:val="008C2B43"/>
    <w:rsid w:val="008D1571"/>
    <w:rsid w:val="008D51B9"/>
    <w:rsid w:val="008D74BC"/>
    <w:rsid w:val="008E1A60"/>
    <w:rsid w:val="008E3051"/>
    <w:rsid w:val="00902298"/>
    <w:rsid w:val="009127F9"/>
    <w:rsid w:val="00923011"/>
    <w:rsid w:val="00926F5C"/>
    <w:rsid w:val="00934628"/>
    <w:rsid w:val="00935BB8"/>
    <w:rsid w:val="00951720"/>
    <w:rsid w:val="00955C7D"/>
    <w:rsid w:val="009577C4"/>
    <w:rsid w:val="00960AF0"/>
    <w:rsid w:val="00960DCB"/>
    <w:rsid w:val="009638F4"/>
    <w:rsid w:val="00964D6B"/>
    <w:rsid w:val="00971902"/>
    <w:rsid w:val="00972C8D"/>
    <w:rsid w:val="00974297"/>
    <w:rsid w:val="009833B6"/>
    <w:rsid w:val="0098385E"/>
    <w:rsid w:val="009A6136"/>
    <w:rsid w:val="009A75F4"/>
    <w:rsid w:val="009C6B24"/>
    <w:rsid w:val="009E1FC9"/>
    <w:rsid w:val="009E3020"/>
    <w:rsid w:val="009F0BB9"/>
    <w:rsid w:val="009F2356"/>
    <w:rsid w:val="009F5421"/>
    <w:rsid w:val="00A027EE"/>
    <w:rsid w:val="00A07FDA"/>
    <w:rsid w:val="00A22F8B"/>
    <w:rsid w:val="00A27D10"/>
    <w:rsid w:val="00A61AC7"/>
    <w:rsid w:val="00A64F3D"/>
    <w:rsid w:val="00A73117"/>
    <w:rsid w:val="00A84E68"/>
    <w:rsid w:val="00A874C6"/>
    <w:rsid w:val="00A91C3E"/>
    <w:rsid w:val="00A9370E"/>
    <w:rsid w:val="00A942DE"/>
    <w:rsid w:val="00AA19C2"/>
    <w:rsid w:val="00AB040D"/>
    <w:rsid w:val="00AE6240"/>
    <w:rsid w:val="00AE725F"/>
    <w:rsid w:val="00AF3D6A"/>
    <w:rsid w:val="00AF61E5"/>
    <w:rsid w:val="00B07102"/>
    <w:rsid w:val="00B1650C"/>
    <w:rsid w:val="00B250DC"/>
    <w:rsid w:val="00B329B8"/>
    <w:rsid w:val="00B33F20"/>
    <w:rsid w:val="00B402A2"/>
    <w:rsid w:val="00B41754"/>
    <w:rsid w:val="00B41E73"/>
    <w:rsid w:val="00B71EF2"/>
    <w:rsid w:val="00B73B46"/>
    <w:rsid w:val="00B74FBF"/>
    <w:rsid w:val="00B75DAA"/>
    <w:rsid w:val="00B75F35"/>
    <w:rsid w:val="00B85808"/>
    <w:rsid w:val="00B93E0C"/>
    <w:rsid w:val="00BA2ACB"/>
    <w:rsid w:val="00BA4CF1"/>
    <w:rsid w:val="00BB20DC"/>
    <w:rsid w:val="00BC3982"/>
    <w:rsid w:val="00BD4FE4"/>
    <w:rsid w:val="00BE0962"/>
    <w:rsid w:val="00BE6D93"/>
    <w:rsid w:val="00BF3F62"/>
    <w:rsid w:val="00BF3F8A"/>
    <w:rsid w:val="00C05D6D"/>
    <w:rsid w:val="00C10DD0"/>
    <w:rsid w:val="00C126EC"/>
    <w:rsid w:val="00C360B3"/>
    <w:rsid w:val="00C37A99"/>
    <w:rsid w:val="00C40494"/>
    <w:rsid w:val="00C41815"/>
    <w:rsid w:val="00C435E3"/>
    <w:rsid w:val="00C436F9"/>
    <w:rsid w:val="00C44390"/>
    <w:rsid w:val="00C46BB6"/>
    <w:rsid w:val="00C62051"/>
    <w:rsid w:val="00C63B32"/>
    <w:rsid w:val="00C72E16"/>
    <w:rsid w:val="00C77088"/>
    <w:rsid w:val="00C82896"/>
    <w:rsid w:val="00CA3E84"/>
    <w:rsid w:val="00CB3C12"/>
    <w:rsid w:val="00CB3E3A"/>
    <w:rsid w:val="00CB4544"/>
    <w:rsid w:val="00CC01CC"/>
    <w:rsid w:val="00CC3EFA"/>
    <w:rsid w:val="00CC5F22"/>
    <w:rsid w:val="00CD170B"/>
    <w:rsid w:val="00CD4CAC"/>
    <w:rsid w:val="00CE7699"/>
    <w:rsid w:val="00D10E99"/>
    <w:rsid w:val="00D11475"/>
    <w:rsid w:val="00D2173A"/>
    <w:rsid w:val="00D240DF"/>
    <w:rsid w:val="00D246E7"/>
    <w:rsid w:val="00D3577B"/>
    <w:rsid w:val="00D41BC0"/>
    <w:rsid w:val="00D47478"/>
    <w:rsid w:val="00D52069"/>
    <w:rsid w:val="00D55B8D"/>
    <w:rsid w:val="00D568BA"/>
    <w:rsid w:val="00D70272"/>
    <w:rsid w:val="00D71D8F"/>
    <w:rsid w:val="00D7681D"/>
    <w:rsid w:val="00D77003"/>
    <w:rsid w:val="00D87634"/>
    <w:rsid w:val="00D93F97"/>
    <w:rsid w:val="00DA3865"/>
    <w:rsid w:val="00DD4EBF"/>
    <w:rsid w:val="00DE02C4"/>
    <w:rsid w:val="00DE2B7C"/>
    <w:rsid w:val="00DE7E49"/>
    <w:rsid w:val="00DF3D91"/>
    <w:rsid w:val="00DF41C8"/>
    <w:rsid w:val="00DF4FB3"/>
    <w:rsid w:val="00E076B6"/>
    <w:rsid w:val="00E12BC5"/>
    <w:rsid w:val="00E2185F"/>
    <w:rsid w:val="00E318B5"/>
    <w:rsid w:val="00E339F9"/>
    <w:rsid w:val="00E3646F"/>
    <w:rsid w:val="00E36FE3"/>
    <w:rsid w:val="00E4676A"/>
    <w:rsid w:val="00E46A7D"/>
    <w:rsid w:val="00E63CFB"/>
    <w:rsid w:val="00E73570"/>
    <w:rsid w:val="00E770E6"/>
    <w:rsid w:val="00E85950"/>
    <w:rsid w:val="00E90AB3"/>
    <w:rsid w:val="00E94BB0"/>
    <w:rsid w:val="00E94F83"/>
    <w:rsid w:val="00E97C9B"/>
    <w:rsid w:val="00EC2117"/>
    <w:rsid w:val="00EC2139"/>
    <w:rsid w:val="00ED0EA7"/>
    <w:rsid w:val="00ED7082"/>
    <w:rsid w:val="00EF4CCE"/>
    <w:rsid w:val="00EF64A7"/>
    <w:rsid w:val="00F04519"/>
    <w:rsid w:val="00F07CC7"/>
    <w:rsid w:val="00F135D5"/>
    <w:rsid w:val="00F50E87"/>
    <w:rsid w:val="00F83E3A"/>
    <w:rsid w:val="00F904CE"/>
    <w:rsid w:val="00F924A4"/>
    <w:rsid w:val="00F92668"/>
    <w:rsid w:val="00F94C75"/>
    <w:rsid w:val="00F9663B"/>
    <w:rsid w:val="00FA2C71"/>
    <w:rsid w:val="00FA790D"/>
    <w:rsid w:val="00FD669C"/>
    <w:rsid w:val="00FE3886"/>
    <w:rsid w:val="00FE420B"/>
    <w:rsid w:val="00FF2BE7"/>
    <w:rsid w:val="00FF41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3E0C"/>
  </w:style>
  <w:style w:type="paragraph" w:styleId="Heading1">
    <w:name w:val="heading 1"/>
    <w:basedOn w:val="Normal"/>
    <w:next w:val="Normal"/>
    <w:link w:val="Heading1Char"/>
    <w:uiPriority w:val="9"/>
    <w:qFormat/>
    <w:rsid w:val="006342B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85BD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85BDA"/>
    <w:rPr>
      <w:rFonts w:ascii="Tahoma" w:hAnsi="Tahoma" w:cs="Tahoma"/>
      <w:sz w:val="16"/>
      <w:szCs w:val="16"/>
    </w:rPr>
  </w:style>
  <w:style w:type="paragraph" w:styleId="Caption">
    <w:name w:val="caption"/>
    <w:basedOn w:val="Normal"/>
    <w:next w:val="Normal"/>
    <w:uiPriority w:val="35"/>
    <w:unhideWhenUsed/>
    <w:qFormat/>
    <w:rsid w:val="00B402A2"/>
    <w:pPr>
      <w:spacing w:line="240" w:lineRule="auto"/>
    </w:pPr>
    <w:rPr>
      <w:b/>
      <w:bCs/>
      <w:color w:val="4F81BD" w:themeColor="accent1"/>
      <w:sz w:val="18"/>
      <w:szCs w:val="18"/>
    </w:rPr>
  </w:style>
  <w:style w:type="paragraph" w:styleId="Header">
    <w:name w:val="header"/>
    <w:basedOn w:val="Normal"/>
    <w:link w:val="HeaderChar"/>
    <w:uiPriority w:val="99"/>
    <w:unhideWhenUsed/>
    <w:rsid w:val="007B5C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B5CB3"/>
  </w:style>
  <w:style w:type="paragraph" w:styleId="Footer">
    <w:name w:val="footer"/>
    <w:basedOn w:val="Normal"/>
    <w:link w:val="FooterChar"/>
    <w:uiPriority w:val="99"/>
    <w:unhideWhenUsed/>
    <w:rsid w:val="007B5CB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B5CB3"/>
  </w:style>
  <w:style w:type="table" w:styleId="TableGrid">
    <w:name w:val="Table Grid"/>
    <w:basedOn w:val="TableNormal"/>
    <w:uiPriority w:val="59"/>
    <w:rsid w:val="00B33F2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1Char">
    <w:name w:val="Heading 1 Char"/>
    <w:basedOn w:val="DefaultParagraphFont"/>
    <w:link w:val="Heading1"/>
    <w:uiPriority w:val="9"/>
    <w:rsid w:val="006342B5"/>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6342B5"/>
    <w:pPr>
      <w:outlineLvl w:val="9"/>
    </w:pPr>
  </w:style>
  <w:style w:type="paragraph" w:styleId="TOC2">
    <w:name w:val="toc 2"/>
    <w:basedOn w:val="Normal"/>
    <w:next w:val="Normal"/>
    <w:autoRedefine/>
    <w:uiPriority w:val="39"/>
    <w:unhideWhenUsed/>
    <w:qFormat/>
    <w:rsid w:val="006342B5"/>
    <w:pPr>
      <w:spacing w:after="100"/>
      <w:ind w:left="220"/>
    </w:pPr>
    <w:rPr>
      <w:rFonts w:eastAsiaTheme="minorEastAsia"/>
    </w:rPr>
  </w:style>
  <w:style w:type="paragraph" w:styleId="TOC1">
    <w:name w:val="toc 1"/>
    <w:basedOn w:val="Normal"/>
    <w:next w:val="Normal"/>
    <w:autoRedefine/>
    <w:uiPriority w:val="39"/>
    <w:unhideWhenUsed/>
    <w:qFormat/>
    <w:rsid w:val="006342B5"/>
    <w:pPr>
      <w:spacing w:after="100"/>
    </w:pPr>
    <w:rPr>
      <w:rFonts w:eastAsiaTheme="minorEastAsia"/>
    </w:rPr>
  </w:style>
  <w:style w:type="paragraph" w:styleId="TOC3">
    <w:name w:val="toc 3"/>
    <w:basedOn w:val="Normal"/>
    <w:next w:val="Normal"/>
    <w:autoRedefine/>
    <w:uiPriority w:val="39"/>
    <w:semiHidden/>
    <w:unhideWhenUsed/>
    <w:qFormat/>
    <w:rsid w:val="006342B5"/>
    <w:pPr>
      <w:spacing w:after="100"/>
      <w:ind w:left="440"/>
    </w:pPr>
    <w:rPr>
      <w:rFonts w:eastAsiaTheme="minorEastAsia"/>
    </w:rPr>
  </w:style>
  <w:style w:type="paragraph" w:styleId="ListParagraph">
    <w:name w:val="List Paragraph"/>
    <w:basedOn w:val="Normal"/>
    <w:uiPriority w:val="34"/>
    <w:qFormat/>
    <w:rsid w:val="00F9663B"/>
    <w:pPr>
      <w:ind w:left="720"/>
      <w:contextualSpacing/>
    </w:pPr>
  </w:style>
  <w:style w:type="character" w:styleId="Hyperlink">
    <w:name w:val="Hyperlink"/>
    <w:basedOn w:val="DefaultParagraphFont"/>
    <w:uiPriority w:val="99"/>
    <w:unhideWhenUsed/>
    <w:rsid w:val="003E3F80"/>
    <w:rPr>
      <w:color w:val="0000FF"/>
      <w:u w:val="single"/>
    </w:rPr>
  </w:style>
  <w:style w:type="table" w:styleId="LightShading-Accent1">
    <w:name w:val="Light Shading Accent 1"/>
    <w:basedOn w:val="TableNormal"/>
    <w:uiPriority w:val="60"/>
    <w:rsid w:val="00574015"/>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
    <w:name w:val="Light Shading"/>
    <w:basedOn w:val="TableNormal"/>
    <w:uiPriority w:val="60"/>
    <w:rsid w:val="00CB454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386830">
      <w:bodyDiv w:val="1"/>
      <w:marLeft w:val="0"/>
      <w:marRight w:val="0"/>
      <w:marTop w:val="0"/>
      <w:marBottom w:val="0"/>
      <w:divBdr>
        <w:top w:val="none" w:sz="0" w:space="0" w:color="auto"/>
        <w:left w:val="none" w:sz="0" w:space="0" w:color="auto"/>
        <w:bottom w:val="none" w:sz="0" w:space="0" w:color="auto"/>
        <w:right w:val="none" w:sz="0" w:space="0" w:color="auto"/>
      </w:divBdr>
    </w:div>
    <w:div w:id="45883162">
      <w:bodyDiv w:val="1"/>
      <w:marLeft w:val="0"/>
      <w:marRight w:val="0"/>
      <w:marTop w:val="0"/>
      <w:marBottom w:val="0"/>
      <w:divBdr>
        <w:top w:val="none" w:sz="0" w:space="0" w:color="auto"/>
        <w:left w:val="none" w:sz="0" w:space="0" w:color="auto"/>
        <w:bottom w:val="none" w:sz="0" w:space="0" w:color="auto"/>
        <w:right w:val="none" w:sz="0" w:space="0" w:color="auto"/>
      </w:divBdr>
    </w:div>
    <w:div w:id="47537985">
      <w:bodyDiv w:val="1"/>
      <w:marLeft w:val="0"/>
      <w:marRight w:val="0"/>
      <w:marTop w:val="0"/>
      <w:marBottom w:val="0"/>
      <w:divBdr>
        <w:top w:val="none" w:sz="0" w:space="0" w:color="auto"/>
        <w:left w:val="none" w:sz="0" w:space="0" w:color="auto"/>
        <w:bottom w:val="none" w:sz="0" w:space="0" w:color="auto"/>
        <w:right w:val="none" w:sz="0" w:space="0" w:color="auto"/>
      </w:divBdr>
    </w:div>
    <w:div w:id="51664626">
      <w:bodyDiv w:val="1"/>
      <w:marLeft w:val="0"/>
      <w:marRight w:val="0"/>
      <w:marTop w:val="0"/>
      <w:marBottom w:val="0"/>
      <w:divBdr>
        <w:top w:val="none" w:sz="0" w:space="0" w:color="auto"/>
        <w:left w:val="none" w:sz="0" w:space="0" w:color="auto"/>
        <w:bottom w:val="none" w:sz="0" w:space="0" w:color="auto"/>
        <w:right w:val="none" w:sz="0" w:space="0" w:color="auto"/>
      </w:divBdr>
    </w:div>
    <w:div w:id="123812334">
      <w:bodyDiv w:val="1"/>
      <w:marLeft w:val="0"/>
      <w:marRight w:val="0"/>
      <w:marTop w:val="0"/>
      <w:marBottom w:val="0"/>
      <w:divBdr>
        <w:top w:val="none" w:sz="0" w:space="0" w:color="auto"/>
        <w:left w:val="none" w:sz="0" w:space="0" w:color="auto"/>
        <w:bottom w:val="none" w:sz="0" w:space="0" w:color="auto"/>
        <w:right w:val="none" w:sz="0" w:space="0" w:color="auto"/>
      </w:divBdr>
    </w:div>
    <w:div w:id="132412038">
      <w:bodyDiv w:val="1"/>
      <w:marLeft w:val="0"/>
      <w:marRight w:val="0"/>
      <w:marTop w:val="0"/>
      <w:marBottom w:val="0"/>
      <w:divBdr>
        <w:top w:val="none" w:sz="0" w:space="0" w:color="auto"/>
        <w:left w:val="none" w:sz="0" w:space="0" w:color="auto"/>
        <w:bottom w:val="none" w:sz="0" w:space="0" w:color="auto"/>
        <w:right w:val="none" w:sz="0" w:space="0" w:color="auto"/>
      </w:divBdr>
    </w:div>
    <w:div w:id="141315457">
      <w:bodyDiv w:val="1"/>
      <w:marLeft w:val="0"/>
      <w:marRight w:val="0"/>
      <w:marTop w:val="0"/>
      <w:marBottom w:val="0"/>
      <w:divBdr>
        <w:top w:val="none" w:sz="0" w:space="0" w:color="auto"/>
        <w:left w:val="none" w:sz="0" w:space="0" w:color="auto"/>
        <w:bottom w:val="none" w:sz="0" w:space="0" w:color="auto"/>
        <w:right w:val="none" w:sz="0" w:space="0" w:color="auto"/>
      </w:divBdr>
    </w:div>
    <w:div w:id="155613612">
      <w:bodyDiv w:val="1"/>
      <w:marLeft w:val="0"/>
      <w:marRight w:val="0"/>
      <w:marTop w:val="0"/>
      <w:marBottom w:val="0"/>
      <w:divBdr>
        <w:top w:val="none" w:sz="0" w:space="0" w:color="auto"/>
        <w:left w:val="none" w:sz="0" w:space="0" w:color="auto"/>
        <w:bottom w:val="none" w:sz="0" w:space="0" w:color="auto"/>
        <w:right w:val="none" w:sz="0" w:space="0" w:color="auto"/>
      </w:divBdr>
    </w:div>
    <w:div w:id="357589433">
      <w:bodyDiv w:val="1"/>
      <w:marLeft w:val="0"/>
      <w:marRight w:val="0"/>
      <w:marTop w:val="0"/>
      <w:marBottom w:val="0"/>
      <w:divBdr>
        <w:top w:val="none" w:sz="0" w:space="0" w:color="auto"/>
        <w:left w:val="none" w:sz="0" w:space="0" w:color="auto"/>
        <w:bottom w:val="none" w:sz="0" w:space="0" w:color="auto"/>
        <w:right w:val="none" w:sz="0" w:space="0" w:color="auto"/>
      </w:divBdr>
    </w:div>
    <w:div w:id="419496011">
      <w:bodyDiv w:val="1"/>
      <w:marLeft w:val="0"/>
      <w:marRight w:val="0"/>
      <w:marTop w:val="0"/>
      <w:marBottom w:val="0"/>
      <w:divBdr>
        <w:top w:val="none" w:sz="0" w:space="0" w:color="auto"/>
        <w:left w:val="none" w:sz="0" w:space="0" w:color="auto"/>
        <w:bottom w:val="none" w:sz="0" w:space="0" w:color="auto"/>
        <w:right w:val="none" w:sz="0" w:space="0" w:color="auto"/>
      </w:divBdr>
    </w:div>
    <w:div w:id="433669485">
      <w:bodyDiv w:val="1"/>
      <w:marLeft w:val="0"/>
      <w:marRight w:val="0"/>
      <w:marTop w:val="0"/>
      <w:marBottom w:val="0"/>
      <w:divBdr>
        <w:top w:val="none" w:sz="0" w:space="0" w:color="auto"/>
        <w:left w:val="none" w:sz="0" w:space="0" w:color="auto"/>
        <w:bottom w:val="none" w:sz="0" w:space="0" w:color="auto"/>
        <w:right w:val="none" w:sz="0" w:space="0" w:color="auto"/>
      </w:divBdr>
    </w:div>
    <w:div w:id="477646391">
      <w:bodyDiv w:val="1"/>
      <w:marLeft w:val="0"/>
      <w:marRight w:val="0"/>
      <w:marTop w:val="0"/>
      <w:marBottom w:val="0"/>
      <w:divBdr>
        <w:top w:val="none" w:sz="0" w:space="0" w:color="auto"/>
        <w:left w:val="none" w:sz="0" w:space="0" w:color="auto"/>
        <w:bottom w:val="none" w:sz="0" w:space="0" w:color="auto"/>
        <w:right w:val="none" w:sz="0" w:space="0" w:color="auto"/>
      </w:divBdr>
    </w:div>
    <w:div w:id="487866633">
      <w:bodyDiv w:val="1"/>
      <w:marLeft w:val="0"/>
      <w:marRight w:val="0"/>
      <w:marTop w:val="0"/>
      <w:marBottom w:val="0"/>
      <w:divBdr>
        <w:top w:val="none" w:sz="0" w:space="0" w:color="auto"/>
        <w:left w:val="none" w:sz="0" w:space="0" w:color="auto"/>
        <w:bottom w:val="none" w:sz="0" w:space="0" w:color="auto"/>
        <w:right w:val="none" w:sz="0" w:space="0" w:color="auto"/>
      </w:divBdr>
    </w:div>
    <w:div w:id="504515563">
      <w:bodyDiv w:val="1"/>
      <w:marLeft w:val="0"/>
      <w:marRight w:val="0"/>
      <w:marTop w:val="0"/>
      <w:marBottom w:val="0"/>
      <w:divBdr>
        <w:top w:val="none" w:sz="0" w:space="0" w:color="auto"/>
        <w:left w:val="none" w:sz="0" w:space="0" w:color="auto"/>
        <w:bottom w:val="none" w:sz="0" w:space="0" w:color="auto"/>
        <w:right w:val="none" w:sz="0" w:space="0" w:color="auto"/>
      </w:divBdr>
    </w:div>
    <w:div w:id="513767596">
      <w:bodyDiv w:val="1"/>
      <w:marLeft w:val="0"/>
      <w:marRight w:val="0"/>
      <w:marTop w:val="0"/>
      <w:marBottom w:val="0"/>
      <w:divBdr>
        <w:top w:val="none" w:sz="0" w:space="0" w:color="auto"/>
        <w:left w:val="none" w:sz="0" w:space="0" w:color="auto"/>
        <w:bottom w:val="none" w:sz="0" w:space="0" w:color="auto"/>
        <w:right w:val="none" w:sz="0" w:space="0" w:color="auto"/>
      </w:divBdr>
    </w:div>
    <w:div w:id="656886548">
      <w:bodyDiv w:val="1"/>
      <w:marLeft w:val="0"/>
      <w:marRight w:val="0"/>
      <w:marTop w:val="0"/>
      <w:marBottom w:val="0"/>
      <w:divBdr>
        <w:top w:val="none" w:sz="0" w:space="0" w:color="auto"/>
        <w:left w:val="none" w:sz="0" w:space="0" w:color="auto"/>
        <w:bottom w:val="none" w:sz="0" w:space="0" w:color="auto"/>
        <w:right w:val="none" w:sz="0" w:space="0" w:color="auto"/>
      </w:divBdr>
    </w:div>
    <w:div w:id="692071469">
      <w:bodyDiv w:val="1"/>
      <w:marLeft w:val="0"/>
      <w:marRight w:val="0"/>
      <w:marTop w:val="0"/>
      <w:marBottom w:val="0"/>
      <w:divBdr>
        <w:top w:val="none" w:sz="0" w:space="0" w:color="auto"/>
        <w:left w:val="none" w:sz="0" w:space="0" w:color="auto"/>
        <w:bottom w:val="none" w:sz="0" w:space="0" w:color="auto"/>
        <w:right w:val="none" w:sz="0" w:space="0" w:color="auto"/>
      </w:divBdr>
    </w:div>
    <w:div w:id="692539122">
      <w:bodyDiv w:val="1"/>
      <w:marLeft w:val="0"/>
      <w:marRight w:val="0"/>
      <w:marTop w:val="0"/>
      <w:marBottom w:val="0"/>
      <w:divBdr>
        <w:top w:val="none" w:sz="0" w:space="0" w:color="auto"/>
        <w:left w:val="none" w:sz="0" w:space="0" w:color="auto"/>
        <w:bottom w:val="none" w:sz="0" w:space="0" w:color="auto"/>
        <w:right w:val="none" w:sz="0" w:space="0" w:color="auto"/>
      </w:divBdr>
    </w:div>
    <w:div w:id="696471966">
      <w:bodyDiv w:val="1"/>
      <w:marLeft w:val="0"/>
      <w:marRight w:val="0"/>
      <w:marTop w:val="0"/>
      <w:marBottom w:val="0"/>
      <w:divBdr>
        <w:top w:val="none" w:sz="0" w:space="0" w:color="auto"/>
        <w:left w:val="none" w:sz="0" w:space="0" w:color="auto"/>
        <w:bottom w:val="none" w:sz="0" w:space="0" w:color="auto"/>
        <w:right w:val="none" w:sz="0" w:space="0" w:color="auto"/>
      </w:divBdr>
    </w:div>
    <w:div w:id="715661850">
      <w:bodyDiv w:val="1"/>
      <w:marLeft w:val="0"/>
      <w:marRight w:val="0"/>
      <w:marTop w:val="0"/>
      <w:marBottom w:val="0"/>
      <w:divBdr>
        <w:top w:val="none" w:sz="0" w:space="0" w:color="auto"/>
        <w:left w:val="none" w:sz="0" w:space="0" w:color="auto"/>
        <w:bottom w:val="none" w:sz="0" w:space="0" w:color="auto"/>
        <w:right w:val="none" w:sz="0" w:space="0" w:color="auto"/>
      </w:divBdr>
    </w:div>
    <w:div w:id="726533919">
      <w:bodyDiv w:val="1"/>
      <w:marLeft w:val="0"/>
      <w:marRight w:val="0"/>
      <w:marTop w:val="0"/>
      <w:marBottom w:val="0"/>
      <w:divBdr>
        <w:top w:val="none" w:sz="0" w:space="0" w:color="auto"/>
        <w:left w:val="none" w:sz="0" w:space="0" w:color="auto"/>
        <w:bottom w:val="none" w:sz="0" w:space="0" w:color="auto"/>
        <w:right w:val="none" w:sz="0" w:space="0" w:color="auto"/>
      </w:divBdr>
    </w:div>
    <w:div w:id="825780101">
      <w:bodyDiv w:val="1"/>
      <w:marLeft w:val="0"/>
      <w:marRight w:val="0"/>
      <w:marTop w:val="0"/>
      <w:marBottom w:val="0"/>
      <w:divBdr>
        <w:top w:val="none" w:sz="0" w:space="0" w:color="auto"/>
        <w:left w:val="none" w:sz="0" w:space="0" w:color="auto"/>
        <w:bottom w:val="none" w:sz="0" w:space="0" w:color="auto"/>
        <w:right w:val="none" w:sz="0" w:space="0" w:color="auto"/>
      </w:divBdr>
    </w:div>
    <w:div w:id="884292890">
      <w:bodyDiv w:val="1"/>
      <w:marLeft w:val="0"/>
      <w:marRight w:val="0"/>
      <w:marTop w:val="0"/>
      <w:marBottom w:val="0"/>
      <w:divBdr>
        <w:top w:val="none" w:sz="0" w:space="0" w:color="auto"/>
        <w:left w:val="none" w:sz="0" w:space="0" w:color="auto"/>
        <w:bottom w:val="none" w:sz="0" w:space="0" w:color="auto"/>
        <w:right w:val="none" w:sz="0" w:space="0" w:color="auto"/>
      </w:divBdr>
    </w:div>
    <w:div w:id="916403948">
      <w:bodyDiv w:val="1"/>
      <w:marLeft w:val="0"/>
      <w:marRight w:val="0"/>
      <w:marTop w:val="0"/>
      <w:marBottom w:val="0"/>
      <w:divBdr>
        <w:top w:val="none" w:sz="0" w:space="0" w:color="auto"/>
        <w:left w:val="none" w:sz="0" w:space="0" w:color="auto"/>
        <w:bottom w:val="none" w:sz="0" w:space="0" w:color="auto"/>
        <w:right w:val="none" w:sz="0" w:space="0" w:color="auto"/>
      </w:divBdr>
    </w:div>
    <w:div w:id="971518458">
      <w:bodyDiv w:val="1"/>
      <w:marLeft w:val="0"/>
      <w:marRight w:val="0"/>
      <w:marTop w:val="0"/>
      <w:marBottom w:val="0"/>
      <w:divBdr>
        <w:top w:val="none" w:sz="0" w:space="0" w:color="auto"/>
        <w:left w:val="none" w:sz="0" w:space="0" w:color="auto"/>
        <w:bottom w:val="none" w:sz="0" w:space="0" w:color="auto"/>
        <w:right w:val="none" w:sz="0" w:space="0" w:color="auto"/>
      </w:divBdr>
    </w:div>
    <w:div w:id="1001353975">
      <w:bodyDiv w:val="1"/>
      <w:marLeft w:val="0"/>
      <w:marRight w:val="0"/>
      <w:marTop w:val="0"/>
      <w:marBottom w:val="0"/>
      <w:divBdr>
        <w:top w:val="none" w:sz="0" w:space="0" w:color="auto"/>
        <w:left w:val="none" w:sz="0" w:space="0" w:color="auto"/>
        <w:bottom w:val="none" w:sz="0" w:space="0" w:color="auto"/>
        <w:right w:val="none" w:sz="0" w:space="0" w:color="auto"/>
      </w:divBdr>
    </w:div>
    <w:div w:id="1016228489">
      <w:bodyDiv w:val="1"/>
      <w:marLeft w:val="0"/>
      <w:marRight w:val="0"/>
      <w:marTop w:val="0"/>
      <w:marBottom w:val="0"/>
      <w:divBdr>
        <w:top w:val="none" w:sz="0" w:space="0" w:color="auto"/>
        <w:left w:val="none" w:sz="0" w:space="0" w:color="auto"/>
        <w:bottom w:val="none" w:sz="0" w:space="0" w:color="auto"/>
        <w:right w:val="none" w:sz="0" w:space="0" w:color="auto"/>
      </w:divBdr>
    </w:div>
    <w:div w:id="1090155576">
      <w:bodyDiv w:val="1"/>
      <w:marLeft w:val="0"/>
      <w:marRight w:val="0"/>
      <w:marTop w:val="0"/>
      <w:marBottom w:val="0"/>
      <w:divBdr>
        <w:top w:val="none" w:sz="0" w:space="0" w:color="auto"/>
        <w:left w:val="none" w:sz="0" w:space="0" w:color="auto"/>
        <w:bottom w:val="none" w:sz="0" w:space="0" w:color="auto"/>
        <w:right w:val="none" w:sz="0" w:space="0" w:color="auto"/>
      </w:divBdr>
    </w:div>
    <w:div w:id="1091317061">
      <w:bodyDiv w:val="1"/>
      <w:marLeft w:val="0"/>
      <w:marRight w:val="0"/>
      <w:marTop w:val="0"/>
      <w:marBottom w:val="0"/>
      <w:divBdr>
        <w:top w:val="none" w:sz="0" w:space="0" w:color="auto"/>
        <w:left w:val="none" w:sz="0" w:space="0" w:color="auto"/>
        <w:bottom w:val="none" w:sz="0" w:space="0" w:color="auto"/>
        <w:right w:val="none" w:sz="0" w:space="0" w:color="auto"/>
      </w:divBdr>
    </w:div>
    <w:div w:id="1109734517">
      <w:bodyDiv w:val="1"/>
      <w:marLeft w:val="0"/>
      <w:marRight w:val="0"/>
      <w:marTop w:val="0"/>
      <w:marBottom w:val="0"/>
      <w:divBdr>
        <w:top w:val="none" w:sz="0" w:space="0" w:color="auto"/>
        <w:left w:val="none" w:sz="0" w:space="0" w:color="auto"/>
        <w:bottom w:val="none" w:sz="0" w:space="0" w:color="auto"/>
        <w:right w:val="none" w:sz="0" w:space="0" w:color="auto"/>
      </w:divBdr>
    </w:div>
    <w:div w:id="1111172594">
      <w:bodyDiv w:val="1"/>
      <w:marLeft w:val="0"/>
      <w:marRight w:val="0"/>
      <w:marTop w:val="0"/>
      <w:marBottom w:val="0"/>
      <w:divBdr>
        <w:top w:val="none" w:sz="0" w:space="0" w:color="auto"/>
        <w:left w:val="none" w:sz="0" w:space="0" w:color="auto"/>
        <w:bottom w:val="none" w:sz="0" w:space="0" w:color="auto"/>
        <w:right w:val="none" w:sz="0" w:space="0" w:color="auto"/>
      </w:divBdr>
    </w:div>
    <w:div w:id="1112244050">
      <w:bodyDiv w:val="1"/>
      <w:marLeft w:val="0"/>
      <w:marRight w:val="0"/>
      <w:marTop w:val="0"/>
      <w:marBottom w:val="0"/>
      <w:divBdr>
        <w:top w:val="none" w:sz="0" w:space="0" w:color="auto"/>
        <w:left w:val="none" w:sz="0" w:space="0" w:color="auto"/>
        <w:bottom w:val="none" w:sz="0" w:space="0" w:color="auto"/>
        <w:right w:val="none" w:sz="0" w:space="0" w:color="auto"/>
      </w:divBdr>
    </w:div>
    <w:div w:id="1120760436">
      <w:bodyDiv w:val="1"/>
      <w:marLeft w:val="0"/>
      <w:marRight w:val="0"/>
      <w:marTop w:val="0"/>
      <w:marBottom w:val="0"/>
      <w:divBdr>
        <w:top w:val="none" w:sz="0" w:space="0" w:color="auto"/>
        <w:left w:val="none" w:sz="0" w:space="0" w:color="auto"/>
        <w:bottom w:val="none" w:sz="0" w:space="0" w:color="auto"/>
        <w:right w:val="none" w:sz="0" w:space="0" w:color="auto"/>
      </w:divBdr>
    </w:div>
    <w:div w:id="1122923041">
      <w:bodyDiv w:val="1"/>
      <w:marLeft w:val="0"/>
      <w:marRight w:val="0"/>
      <w:marTop w:val="0"/>
      <w:marBottom w:val="0"/>
      <w:divBdr>
        <w:top w:val="none" w:sz="0" w:space="0" w:color="auto"/>
        <w:left w:val="none" w:sz="0" w:space="0" w:color="auto"/>
        <w:bottom w:val="none" w:sz="0" w:space="0" w:color="auto"/>
        <w:right w:val="none" w:sz="0" w:space="0" w:color="auto"/>
      </w:divBdr>
    </w:div>
    <w:div w:id="1235511294">
      <w:bodyDiv w:val="1"/>
      <w:marLeft w:val="0"/>
      <w:marRight w:val="0"/>
      <w:marTop w:val="0"/>
      <w:marBottom w:val="0"/>
      <w:divBdr>
        <w:top w:val="none" w:sz="0" w:space="0" w:color="auto"/>
        <w:left w:val="none" w:sz="0" w:space="0" w:color="auto"/>
        <w:bottom w:val="none" w:sz="0" w:space="0" w:color="auto"/>
        <w:right w:val="none" w:sz="0" w:space="0" w:color="auto"/>
      </w:divBdr>
    </w:div>
    <w:div w:id="1246376620">
      <w:bodyDiv w:val="1"/>
      <w:marLeft w:val="0"/>
      <w:marRight w:val="0"/>
      <w:marTop w:val="0"/>
      <w:marBottom w:val="0"/>
      <w:divBdr>
        <w:top w:val="none" w:sz="0" w:space="0" w:color="auto"/>
        <w:left w:val="none" w:sz="0" w:space="0" w:color="auto"/>
        <w:bottom w:val="none" w:sz="0" w:space="0" w:color="auto"/>
        <w:right w:val="none" w:sz="0" w:space="0" w:color="auto"/>
      </w:divBdr>
    </w:div>
    <w:div w:id="1390765736">
      <w:bodyDiv w:val="1"/>
      <w:marLeft w:val="0"/>
      <w:marRight w:val="0"/>
      <w:marTop w:val="0"/>
      <w:marBottom w:val="0"/>
      <w:divBdr>
        <w:top w:val="none" w:sz="0" w:space="0" w:color="auto"/>
        <w:left w:val="none" w:sz="0" w:space="0" w:color="auto"/>
        <w:bottom w:val="none" w:sz="0" w:space="0" w:color="auto"/>
        <w:right w:val="none" w:sz="0" w:space="0" w:color="auto"/>
      </w:divBdr>
    </w:div>
    <w:div w:id="1454786458">
      <w:bodyDiv w:val="1"/>
      <w:marLeft w:val="0"/>
      <w:marRight w:val="0"/>
      <w:marTop w:val="0"/>
      <w:marBottom w:val="0"/>
      <w:divBdr>
        <w:top w:val="none" w:sz="0" w:space="0" w:color="auto"/>
        <w:left w:val="none" w:sz="0" w:space="0" w:color="auto"/>
        <w:bottom w:val="none" w:sz="0" w:space="0" w:color="auto"/>
        <w:right w:val="none" w:sz="0" w:space="0" w:color="auto"/>
      </w:divBdr>
    </w:div>
    <w:div w:id="1580016011">
      <w:bodyDiv w:val="1"/>
      <w:marLeft w:val="0"/>
      <w:marRight w:val="0"/>
      <w:marTop w:val="0"/>
      <w:marBottom w:val="0"/>
      <w:divBdr>
        <w:top w:val="none" w:sz="0" w:space="0" w:color="auto"/>
        <w:left w:val="none" w:sz="0" w:space="0" w:color="auto"/>
        <w:bottom w:val="none" w:sz="0" w:space="0" w:color="auto"/>
        <w:right w:val="none" w:sz="0" w:space="0" w:color="auto"/>
      </w:divBdr>
    </w:div>
    <w:div w:id="1581601049">
      <w:bodyDiv w:val="1"/>
      <w:marLeft w:val="0"/>
      <w:marRight w:val="0"/>
      <w:marTop w:val="0"/>
      <w:marBottom w:val="0"/>
      <w:divBdr>
        <w:top w:val="none" w:sz="0" w:space="0" w:color="auto"/>
        <w:left w:val="none" w:sz="0" w:space="0" w:color="auto"/>
        <w:bottom w:val="none" w:sz="0" w:space="0" w:color="auto"/>
        <w:right w:val="none" w:sz="0" w:space="0" w:color="auto"/>
      </w:divBdr>
    </w:div>
    <w:div w:id="1650935642">
      <w:bodyDiv w:val="1"/>
      <w:marLeft w:val="0"/>
      <w:marRight w:val="0"/>
      <w:marTop w:val="0"/>
      <w:marBottom w:val="0"/>
      <w:divBdr>
        <w:top w:val="none" w:sz="0" w:space="0" w:color="auto"/>
        <w:left w:val="none" w:sz="0" w:space="0" w:color="auto"/>
        <w:bottom w:val="none" w:sz="0" w:space="0" w:color="auto"/>
        <w:right w:val="none" w:sz="0" w:space="0" w:color="auto"/>
      </w:divBdr>
    </w:div>
    <w:div w:id="1695300985">
      <w:bodyDiv w:val="1"/>
      <w:marLeft w:val="0"/>
      <w:marRight w:val="0"/>
      <w:marTop w:val="0"/>
      <w:marBottom w:val="0"/>
      <w:divBdr>
        <w:top w:val="none" w:sz="0" w:space="0" w:color="auto"/>
        <w:left w:val="none" w:sz="0" w:space="0" w:color="auto"/>
        <w:bottom w:val="none" w:sz="0" w:space="0" w:color="auto"/>
        <w:right w:val="none" w:sz="0" w:space="0" w:color="auto"/>
      </w:divBdr>
    </w:div>
    <w:div w:id="1798601623">
      <w:bodyDiv w:val="1"/>
      <w:marLeft w:val="0"/>
      <w:marRight w:val="0"/>
      <w:marTop w:val="0"/>
      <w:marBottom w:val="0"/>
      <w:divBdr>
        <w:top w:val="none" w:sz="0" w:space="0" w:color="auto"/>
        <w:left w:val="none" w:sz="0" w:space="0" w:color="auto"/>
        <w:bottom w:val="none" w:sz="0" w:space="0" w:color="auto"/>
        <w:right w:val="none" w:sz="0" w:space="0" w:color="auto"/>
      </w:divBdr>
    </w:div>
    <w:div w:id="1810853330">
      <w:bodyDiv w:val="1"/>
      <w:marLeft w:val="0"/>
      <w:marRight w:val="0"/>
      <w:marTop w:val="0"/>
      <w:marBottom w:val="0"/>
      <w:divBdr>
        <w:top w:val="none" w:sz="0" w:space="0" w:color="auto"/>
        <w:left w:val="none" w:sz="0" w:space="0" w:color="auto"/>
        <w:bottom w:val="none" w:sz="0" w:space="0" w:color="auto"/>
        <w:right w:val="none" w:sz="0" w:space="0" w:color="auto"/>
      </w:divBdr>
    </w:div>
    <w:div w:id="1820877670">
      <w:bodyDiv w:val="1"/>
      <w:marLeft w:val="0"/>
      <w:marRight w:val="0"/>
      <w:marTop w:val="0"/>
      <w:marBottom w:val="0"/>
      <w:divBdr>
        <w:top w:val="none" w:sz="0" w:space="0" w:color="auto"/>
        <w:left w:val="none" w:sz="0" w:space="0" w:color="auto"/>
        <w:bottom w:val="none" w:sz="0" w:space="0" w:color="auto"/>
        <w:right w:val="none" w:sz="0" w:space="0" w:color="auto"/>
      </w:divBdr>
    </w:div>
    <w:div w:id="1846240946">
      <w:bodyDiv w:val="1"/>
      <w:marLeft w:val="0"/>
      <w:marRight w:val="0"/>
      <w:marTop w:val="0"/>
      <w:marBottom w:val="0"/>
      <w:divBdr>
        <w:top w:val="none" w:sz="0" w:space="0" w:color="auto"/>
        <w:left w:val="none" w:sz="0" w:space="0" w:color="auto"/>
        <w:bottom w:val="none" w:sz="0" w:space="0" w:color="auto"/>
        <w:right w:val="none" w:sz="0" w:space="0" w:color="auto"/>
      </w:divBdr>
    </w:div>
    <w:div w:id="1895189184">
      <w:bodyDiv w:val="1"/>
      <w:marLeft w:val="0"/>
      <w:marRight w:val="0"/>
      <w:marTop w:val="0"/>
      <w:marBottom w:val="0"/>
      <w:divBdr>
        <w:top w:val="none" w:sz="0" w:space="0" w:color="auto"/>
        <w:left w:val="none" w:sz="0" w:space="0" w:color="auto"/>
        <w:bottom w:val="none" w:sz="0" w:space="0" w:color="auto"/>
        <w:right w:val="none" w:sz="0" w:space="0" w:color="auto"/>
      </w:divBdr>
    </w:div>
    <w:div w:id="1990016929">
      <w:bodyDiv w:val="1"/>
      <w:marLeft w:val="0"/>
      <w:marRight w:val="0"/>
      <w:marTop w:val="0"/>
      <w:marBottom w:val="0"/>
      <w:divBdr>
        <w:top w:val="none" w:sz="0" w:space="0" w:color="auto"/>
        <w:left w:val="none" w:sz="0" w:space="0" w:color="auto"/>
        <w:bottom w:val="none" w:sz="0" w:space="0" w:color="auto"/>
        <w:right w:val="none" w:sz="0" w:space="0" w:color="auto"/>
      </w:divBdr>
    </w:div>
    <w:div w:id="2057967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chart" Target="charts/chart17.xml"/><Relationship Id="rId3" Type="http://schemas.openxmlformats.org/officeDocument/2006/relationships/styles" Target="styles.xml"/><Relationship Id="rId21" Type="http://schemas.openxmlformats.org/officeDocument/2006/relationships/chart" Target="charts/chart12.xm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chart" Target="charts/chart16.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hyperlink" Target="https://www.primebank.com.bd/"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chart" Target="charts/chart15.xm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chart" Target="charts/chart6.xml"/><Relationship Id="rId23" Type="http://schemas.openxmlformats.org/officeDocument/2006/relationships/chart" Target="charts/chart14.xml"/><Relationship Id="rId28" Type="http://schemas.openxmlformats.org/officeDocument/2006/relationships/chart" Target="charts/chart19.xml"/><Relationship Id="rId10" Type="http://schemas.openxmlformats.org/officeDocument/2006/relationships/chart" Target="charts/chart1.xml"/><Relationship Id="rId19" Type="http://schemas.openxmlformats.org/officeDocument/2006/relationships/chart" Target="charts/chart10.xml"/><Relationship Id="rId31"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chart" Target="charts/chart18.xml"/><Relationship Id="rId30" Type="http://schemas.openxmlformats.org/officeDocument/2006/relationships/hyperlink" Target="https://www.primebank.com.bd/index.php/home/financial_reports"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Excel_Worksheet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Excel_Worksheet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Excel_Worksheet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9"/>
    </mc:Choice>
    <mc:Fallback>
      <c:style val="9"/>
    </mc:Fallback>
  </mc:AlternateContent>
  <c:chart>
    <c:autoTitleDeleted val="1"/>
    <c:plotArea>
      <c:layout/>
      <c:barChart>
        <c:barDir val="col"/>
        <c:grouping val="clustered"/>
        <c:varyColors val="0"/>
        <c:ser>
          <c:idx val="0"/>
          <c:order val="0"/>
          <c:tx>
            <c:strRef>
              <c:f>Sheet1!$B$1</c:f>
              <c:strCache>
                <c:ptCount val="1"/>
                <c:pt idx="0">
                  <c:v>%</c:v>
                </c:pt>
              </c:strCache>
            </c:strRef>
          </c:tx>
          <c:invertIfNegative val="0"/>
          <c:dPt>
            <c:idx val="0"/>
            <c:invertIfNegative val="0"/>
            <c:bubble3D val="0"/>
            <c:spPr>
              <a:solidFill>
                <a:schemeClr val="accent6"/>
              </a:solidFill>
            </c:spPr>
          </c:dPt>
          <c:dPt>
            <c:idx val="1"/>
            <c:invertIfNegative val="0"/>
            <c:bubble3D val="0"/>
            <c:spPr>
              <a:solidFill>
                <a:schemeClr val="accent4"/>
              </a:solidFill>
            </c:spPr>
          </c:dPt>
          <c:dPt>
            <c:idx val="2"/>
            <c:invertIfNegative val="0"/>
            <c:bubble3D val="0"/>
            <c:spPr>
              <a:solidFill>
                <a:schemeClr val="accent3"/>
              </a:solidFill>
            </c:spPr>
          </c:dPt>
          <c:dPt>
            <c:idx val="3"/>
            <c:invertIfNegative val="0"/>
            <c:bubble3D val="0"/>
            <c:spPr>
              <a:solidFill>
                <a:schemeClr val="accent2"/>
              </a:solidFill>
            </c:spPr>
          </c:dPt>
          <c:dPt>
            <c:idx val="4"/>
            <c:invertIfNegative val="0"/>
            <c:bubble3D val="0"/>
            <c:spPr>
              <a:solidFill>
                <a:schemeClr val="accent1"/>
              </a:solidFill>
            </c:spPr>
          </c:dPt>
          <c:dLbls>
            <c:showLegendKey val="0"/>
            <c:showVal val="1"/>
            <c:showCatName val="0"/>
            <c:showSerName val="0"/>
            <c:showPercent val="0"/>
            <c:showBubbleSize val="0"/>
            <c:showLeaderLines val="0"/>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1.1700000000000021</c:v>
                </c:pt>
                <c:pt idx="1">
                  <c:v>1.07</c:v>
                </c:pt>
                <c:pt idx="2">
                  <c:v>1.1200000000000001</c:v>
                </c:pt>
                <c:pt idx="3">
                  <c:v>1</c:v>
                </c:pt>
                <c:pt idx="4">
                  <c:v>1.02</c:v>
                </c:pt>
              </c:numCache>
            </c:numRef>
          </c:val>
        </c:ser>
        <c:dLbls>
          <c:showLegendKey val="0"/>
          <c:showVal val="0"/>
          <c:showCatName val="0"/>
          <c:showSerName val="0"/>
          <c:showPercent val="0"/>
          <c:showBubbleSize val="0"/>
        </c:dLbls>
        <c:gapWidth val="150"/>
        <c:axId val="36430976"/>
        <c:axId val="36432512"/>
      </c:barChart>
      <c:catAx>
        <c:axId val="36430976"/>
        <c:scaling>
          <c:orientation val="minMax"/>
        </c:scaling>
        <c:delete val="0"/>
        <c:axPos val="b"/>
        <c:numFmt formatCode="General" sourceLinked="1"/>
        <c:majorTickMark val="out"/>
        <c:minorTickMark val="none"/>
        <c:tickLblPos val="nextTo"/>
        <c:crossAx val="36432512"/>
        <c:crosses val="autoZero"/>
        <c:auto val="1"/>
        <c:lblAlgn val="ctr"/>
        <c:lblOffset val="100"/>
        <c:noMultiLvlLbl val="0"/>
      </c:catAx>
      <c:valAx>
        <c:axId val="36432512"/>
        <c:scaling>
          <c:orientation val="minMax"/>
        </c:scaling>
        <c:delete val="0"/>
        <c:axPos val="l"/>
        <c:majorGridlines/>
        <c:numFmt formatCode="General" sourceLinked="1"/>
        <c:majorTickMark val="out"/>
        <c:minorTickMark val="none"/>
        <c:tickLblPos val="nextTo"/>
        <c:crossAx val="36430976"/>
        <c:crosses val="autoZero"/>
        <c:crossBetween val="between"/>
      </c:valAx>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c:v>
                </c:pt>
              </c:strCache>
            </c:strRef>
          </c:tx>
          <c:invertIfNegative val="0"/>
          <c:dPt>
            <c:idx val="0"/>
            <c:invertIfNegative val="0"/>
            <c:bubble3D val="0"/>
            <c:spPr>
              <a:solidFill>
                <a:schemeClr val="accent6"/>
              </a:solidFill>
            </c:spPr>
          </c:dPt>
          <c:dPt>
            <c:idx val="1"/>
            <c:invertIfNegative val="0"/>
            <c:bubble3D val="0"/>
            <c:spPr>
              <a:solidFill>
                <a:schemeClr val="accent4"/>
              </a:solidFill>
            </c:spPr>
          </c:dPt>
          <c:dPt>
            <c:idx val="2"/>
            <c:invertIfNegative val="0"/>
            <c:bubble3D val="0"/>
            <c:spPr>
              <a:solidFill>
                <a:schemeClr val="accent3"/>
              </a:solidFill>
            </c:spPr>
          </c:dPt>
          <c:dPt>
            <c:idx val="3"/>
            <c:invertIfNegative val="0"/>
            <c:bubble3D val="0"/>
            <c:spPr>
              <a:solidFill>
                <a:schemeClr val="accent2"/>
              </a:solidFill>
            </c:spPr>
          </c:dPt>
          <c:dPt>
            <c:idx val="4"/>
            <c:invertIfNegative val="0"/>
            <c:bubble3D val="0"/>
            <c:spPr>
              <a:solidFill>
                <a:schemeClr val="accent1"/>
              </a:solidFill>
            </c:spPr>
          </c:dPt>
          <c:dLbls>
            <c:showLegendKey val="0"/>
            <c:showVal val="1"/>
            <c:showCatName val="0"/>
            <c:showSerName val="0"/>
            <c:showPercent val="0"/>
            <c:showBubbleSize val="0"/>
            <c:showLeaderLines val="0"/>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4.42</c:v>
                </c:pt>
                <c:pt idx="1">
                  <c:v>4.51</c:v>
                </c:pt>
                <c:pt idx="2">
                  <c:v>4.41</c:v>
                </c:pt>
                <c:pt idx="3">
                  <c:v>4.3099999999999996</c:v>
                </c:pt>
                <c:pt idx="4">
                  <c:v>4.38</c:v>
                </c:pt>
              </c:numCache>
            </c:numRef>
          </c:val>
        </c:ser>
        <c:dLbls>
          <c:showLegendKey val="0"/>
          <c:showVal val="0"/>
          <c:showCatName val="0"/>
          <c:showSerName val="0"/>
          <c:showPercent val="0"/>
          <c:showBubbleSize val="0"/>
        </c:dLbls>
        <c:gapWidth val="150"/>
        <c:axId val="72299264"/>
        <c:axId val="72300800"/>
      </c:barChart>
      <c:catAx>
        <c:axId val="72299264"/>
        <c:scaling>
          <c:orientation val="minMax"/>
        </c:scaling>
        <c:delete val="0"/>
        <c:axPos val="b"/>
        <c:numFmt formatCode="General" sourceLinked="1"/>
        <c:majorTickMark val="out"/>
        <c:minorTickMark val="none"/>
        <c:tickLblPos val="nextTo"/>
        <c:crossAx val="72300800"/>
        <c:crosses val="autoZero"/>
        <c:auto val="1"/>
        <c:lblAlgn val="ctr"/>
        <c:lblOffset val="100"/>
        <c:noMultiLvlLbl val="0"/>
      </c:catAx>
      <c:valAx>
        <c:axId val="72300800"/>
        <c:scaling>
          <c:orientation val="minMax"/>
        </c:scaling>
        <c:delete val="0"/>
        <c:axPos val="l"/>
        <c:majorGridlines/>
        <c:numFmt formatCode="General" sourceLinked="1"/>
        <c:majorTickMark val="out"/>
        <c:minorTickMark val="none"/>
        <c:tickLblPos val="nextTo"/>
        <c:crossAx val="72299264"/>
        <c:crosses val="autoZero"/>
        <c:crossBetween val="between"/>
      </c:valAx>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c:v>
                </c:pt>
              </c:strCache>
            </c:strRef>
          </c:tx>
          <c:invertIfNegative val="0"/>
          <c:dPt>
            <c:idx val="0"/>
            <c:invertIfNegative val="0"/>
            <c:bubble3D val="0"/>
            <c:spPr>
              <a:solidFill>
                <a:schemeClr val="accent6"/>
              </a:solidFill>
            </c:spPr>
          </c:dPt>
          <c:dPt>
            <c:idx val="1"/>
            <c:invertIfNegative val="0"/>
            <c:bubble3D val="0"/>
            <c:spPr>
              <a:solidFill>
                <a:schemeClr val="accent4"/>
              </a:solidFill>
            </c:spPr>
          </c:dPt>
          <c:dPt>
            <c:idx val="2"/>
            <c:invertIfNegative val="0"/>
            <c:bubble3D val="0"/>
            <c:spPr>
              <a:solidFill>
                <a:schemeClr val="accent3"/>
              </a:solidFill>
            </c:spPr>
          </c:dPt>
          <c:dPt>
            <c:idx val="3"/>
            <c:invertIfNegative val="0"/>
            <c:bubble3D val="0"/>
            <c:spPr>
              <a:solidFill>
                <a:schemeClr val="accent2"/>
              </a:solidFill>
            </c:spPr>
          </c:dPt>
          <c:dPt>
            <c:idx val="4"/>
            <c:invertIfNegative val="0"/>
            <c:bubble3D val="0"/>
            <c:spPr>
              <a:solidFill>
                <a:schemeClr val="accent1"/>
              </a:solidFill>
            </c:spPr>
          </c:dPt>
          <c:dLbls>
            <c:showLegendKey val="0"/>
            <c:showVal val="1"/>
            <c:showCatName val="0"/>
            <c:showSerName val="0"/>
            <c:showPercent val="0"/>
            <c:showBubbleSize val="0"/>
            <c:showLeaderLines val="0"/>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48.290000000000013</c:v>
                </c:pt>
                <c:pt idx="1">
                  <c:v>51.07</c:v>
                </c:pt>
                <c:pt idx="2">
                  <c:v>52.11</c:v>
                </c:pt>
                <c:pt idx="3">
                  <c:v>55.77</c:v>
                </c:pt>
                <c:pt idx="4">
                  <c:v>55.660000000000011</c:v>
                </c:pt>
              </c:numCache>
            </c:numRef>
          </c:val>
        </c:ser>
        <c:dLbls>
          <c:showLegendKey val="0"/>
          <c:showVal val="0"/>
          <c:showCatName val="0"/>
          <c:showSerName val="0"/>
          <c:showPercent val="0"/>
          <c:showBubbleSize val="0"/>
        </c:dLbls>
        <c:gapWidth val="150"/>
        <c:axId val="72343936"/>
        <c:axId val="72345472"/>
      </c:barChart>
      <c:catAx>
        <c:axId val="72343936"/>
        <c:scaling>
          <c:orientation val="minMax"/>
        </c:scaling>
        <c:delete val="0"/>
        <c:axPos val="b"/>
        <c:numFmt formatCode="General" sourceLinked="1"/>
        <c:majorTickMark val="out"/>
        <c:minorTickMark val="none"/>
        <c:tickLblPos val="nextTo"/>
        <c:crossAx val="72345472"/>
        <c:crosses val="autoZero"/>
        <c:auto val="1"/>
        <c:lblAlgn val="ctr"/>
        <c:lblOffset val="100"/>
        <c:noMultiLvlLbl val="0"/>
      </c:catAx>
      <c:valAx>
        <c:axId val="72345472"/>
        <c:scaling>
          <c:orientation val="minMax"/>
        </c:scaling>
        <c:delete val="0"/>
        <c:axPos val="l"/>
        <c:majorGridlines/>
        <c:numFmt formatCode="General" sourceLinked="1"/>
        <c:majorTickMark val="out"/>
        <c:minorTickMark val="none"/>
        <c:tickLblPos val="nextTo"/>
        <c:crossAx val="72343936"/>
        <c:crosses val="autoZero"/>
        <c:crossBetween val="between"/>
      </c:valAx>
    </c:plotArea>
    <c:legend>
      <c:legendPos val="r"/>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c:v>
                </c:pt>
              </c:strCache>
            </c:strRef>
          </c:tx>
          <c:invertIfNegative val="0"/>
          <c:dPt>
            <c:idx val="0"/>
            <c:invertIfNegative val="0"/>
            <c:bubble3D val="0"/>
            <c:spPr>
              <a:solidFill>
                <a:schemeClr val="accent6"/>
              </a:solidFill>
            </c:spPr>
          </c:dPt>
          <c:dPt>
            <c:idx val="1"/>
            <c:invertIfNegative val="0"/>
            <c:bubble3D val="0"/>
            <c:spPr>
              <a:solidFill>
                <a:schemeClr val="accent4"/>
              </a:solidFill>
            </c:spPr>
          </c:dPt>
          <c:dPt>
            <c:idx val="2"/>
            <c:invertIfNegative val="0"/>
            <c:bubble3D val="0"/>
            <c:spPr>
              <a:solidFill>
                <a:schemeClr val="accent3"/>
              </a:solidFill>
            </c:spPr>
          </c:dPt>
          <c:dPt>
            <c:idx val="3"/>
            <c:invertIfNegative val="0"/>
            <c:bubble3D val="0"/>
            <c:spPr>
              <a:solidFill>
                <a:schemeClr val="accent2"/>
              </a:solidFill>
            </c:spPr>
          </c:dPt>
          <c:dPt>
            <c:idx val="4"/>
            <c:invertIfNegative val="0"/>
            <c:bubble3D val="0"/>
            <c:spPr>
              <a:solidFill>
                <a:schemeClr val="accent1"/>
              </a:solidFill>
            </c:spPr>
          </c:dPt>
          <c:dLbls>
            <c:showLegendKey val="0"/>
            <c:showVal val="1"/>
            <c:showCatName val="0"/>
            <c:showSerName val="0"/>
            <c:showPercent val="0"/>
            <c:showBubbleSize val="0"/>
            <c:showLeaderLines val="0"/>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43.33</c:v>
                </c:pt>
                <c:pt idx="1">
                  <c:v>45.849999999999994</c:v>
                </c:pt>
                <c:pt idx="2">
                  <c:v>52.97</c:v>
                </c:pt>
                <c:pt idx="3">
                  <c:v>55.28</c:v>
                </c:pt>
                <c:pt idx="4">
                  <c:v>54.720000000000013</c:v>
                </c:pt>
              </c:numCache>
            </c:numRef>
          </c:val>
        </c:ser>
        <c:dLbls>
          <c:showLegendKey val="0"/>
          <c:showVal val="0"/>
          <c:showCatName val="0"/>
          <c:showSerName val="0"/>
          <c:showPercent val="0"/>
          <c:showBubbleSize val="0"/>
        </c:dLbls>
        <c:gapWidth val="150"/>
        <c:axId val="72404992"/>
        <c:axId val="72406528"/>
      </c:barChart>
      <c:catAx>
        <c:axId val="72404992"/>
        <c:scaling>
          <c:orientation val="minMax"/>
        </c:scaling>
        <c:delete val="0"/>
        <c:axPos val="b"/>
        <c:numFmt formatCode="General" sourceLinked="1"/>
        <c:majorTickMark val="out"/>
        <c:minorTickMark val="none"/>
        <c:tickLblPos val="nextTo"/>
        <c:crossAx val="72406528"/>
        <c:crosses val="autoZero"/>
        <c:auto val="1"/>
        <c:lblAlgn val="ctr"/>
        <c:lblOffset val="100"/>
        <c:noMultiLvlLbl val="0"/>
      </c:catAx>
      <c:valAx>
        <c:axId val="72406528"/>
        <c:scaling>
          <c:orientation val="minMax"/>
        </c:scaling>
        <c:delete val="0"/>
        <c:axPos val="l"/>
        <c:majorGridlines/>
        <c:numFmt formatCode="General" sourceLinked="1"/>
        <c:majorTickMark val="out"/>
        <c:minorTickMark val="none"/>
        <c:tickLblPos val="nextTo"/>
        <c:crossAx val="72404992"/>
        <c:crosses val="autoZero"/>
        <c:crossBetween val="between"/>
      </c:valAx>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c:v>
                </c:pt>
              </c:strCache>
            </c:strRef>
          </c:tx>
          <c:spPr>
            <a:solidFill>
              <a:schemeClr val="accent6"/>
            </a:solidFill>
          </c:spPr>
          <c:invertIfNegative val="0"/>
          <c:dPt>
            <c:idx val="1"/>
            <c:invertIfNegative val="0"/>
            <c:bubble3D val="0"/>
            <c:spPr>
              <a:solidFill>
                <a:schemeClr val="accent4"/>
              </a:solidFill>
            </c:spPr>
          </c:dPt>
          <c:dPt>
            <c:idx val="2"/>
            <c:invertIfNegative val="0"/>
            <c:bubble3D val="0"/>
            <c:spPr>
              <a:solidFill>
                <a:schemeClr val="accent3"/>
              </a:solidFill>
            </c:spPr>
          </c:dPt>
          <c:dPt>
            <c:idx val="3"/>
            <c:invertIfNegative val="0"/>
            <c:bubble3D val="0"/>
            <c:spPr>
              <a:solidFill>
                <a:schemeClr val="accent2"/>
              </a:solidFill>
            </c:spPr>
          </c:dPt>
          <c:dPt>
            <c:idx val="4"/>
            <c:invertIfNegative val="0"/>
            <c:bubble3D val="0"/>
            <c:spPr>
              <a:solidFill>
                <a:schemeClr val="accent1"/>
              </a:solidFill>
            </c:spPr>
          </c:dPt>
          <c:dLbls>
            <c:showLegendKey val="0"/>
            <c:showVal val="1"/>
            <c:showCatName val="0"/>
            <c:showSerName val="0"/>
            <c:showPercent val="0"/>
            <c:showBubbleSize val="0"/>
            <c:showLeaderLines val="0"/>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0.91</c:v>
                </c:pt>
                <c:pt idx="1">
                  <c:v>0.8</c:v>
                </c:pt>
                <c:pt idx="2">
                  <c:v>0.81</c:v>
                </c:pt>
                <c:pt idx="3">
                  <c:v>0.38000000000000272</c:v>
                </c:pt>
                <c:pt idx="4">
                  <c:v>0.76000000000000556</c:v>
                </c:pt>
              </c:numCache>
            </c:numRef>
          </c:val>
        </c:ser>
        <c:dLbls>
          <c:showLegendKey val="0"/>
          <c:showVal val="0"/>
          <c:showCatName val="0"/>
          <c:showSerName val="0"/>
          <c:showPercent val="0"/>
          <c:showBubbleSize val="0"/>
        </c:dLbls>
        <c:gapWidth val="150"/>
        <c:axId val="72588288"/>
        <c:axId val="72594176"/>
      </c:barChart>
      <c:catAx>
        <c:axId val="72588288"/>
        <c:scaling>
          <c:orientation val="minMax"/>
        </c:scaling>
        <c:delete val="0"/>
        <c:axPos val="b"/>
        <c:numFmt formatCode="General" sourceLinked="1"/>
        <c:majorTickMark val="out"/>
        <c:minorTickMark val="none"/>
        <c:tickLblPos val="nextTo"/>
        <c:crossAx val="72594176"/>
        <c:crosses val="autoZero"/>
        <c:auto val="1"/>
        <c:lblAlgn val="ctr"/>
        <c:lblOffset val="100"/>
        <c:noMultiLvlLbl val="0"/>
      </c:catAx>
      <c:valAx>
        <c:axId val="72594176"/>
        <c:scaling>
          <c:orientation val="minMax"/>
        </c:scaling>
        <c:delete val="0"/>
        <c:axPos val="l"/>
        <c:majorGridlines/>
        <c:numFmt formatCode="General" sourceLinked="1"/>
        <c:majorTickMark val="out"/>
        <c:minorTickMark val="none"/>
        <c:tickLblPos val="nextTo"/>
        <c:crossAx val="72588288"/>
        <c:crosses val="autoZero"/>
        <c:crossBetween val="between"/>
      </c:valAx>
    </c:plotArea>
    <c:legend>
      <c:legendPos val="r"/>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%2</c:v>
                </c:pt>
              </c:strCache>
            </c:strRef>
          </c:tx>
          <c:invertIfNegative val="0"/>
          <c:dPt>
            <c:idx val="0"/>
            <c:invertIfNegative val="0"/>
            <c:bubble3D val="0"/>
            <c:spPr>
              <a:solidFill>
                <a:schemeClr val="accent6"/>
              </a:solidFill>
            </c:spPr>
          </c:dPt>
          <c:dPt>
            <c:idx val="1"/>
            <c:invertIfNegative val="0"/>
            <c:bubble3D val="0"/>
            <c:spPr>
              <a:solidFill>
                <a:schemeClr val="accent4"/>
              </a:solidFill>
            </c:spPr>
          </c:dPt>
          <c:dPt>
            <c:idx val="2"/>
            <c:invertIfNegative val="0"/>
            <c:bubble3D val="0"/>
            <c:spPr>
              <a:solidFill>
                <a:schemeClr val="accent3"/>
              </a:solidFill>
            </c:spPr>
          </c:dPt>
          <c:dPt>
            <c:idx val="3"/>
            <c:invertIfNegative val="0"/>
            <c:bubble3D val="0"/>
            <c:spPr>
              <a:solidFill>
                <a:schemeClr val="accent2"/>
              </a:solidFill>
            </c:spPr>
          </c:dPt>
          <c:dPt>
            <c:idx val="4"/>
            <c:invertIfNegative val="0"/>
            <c:bubble3D val="0"/>
            <c:spPr>
              <a:solidFill>
                <a:schemeClr val="accent1"/>
              </a:solidFill>
            </c:spPr>
          </c:dPt>
          <c:dLbls>
            <c:showLegendKey val="0"/>
            <c:showVal val="1"/>
            <c:showCatName val="0"/>
            <c:showSerName val="0"/>
            <c:showPercent val="0"/>
            <c:showBubbleSize val="0"/>
            <c:showLeaderLines val="0"/>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9.7800000000000011</c:v>
                </c:pt>
                <c:pt idx="1">
                  <c:v>8.09</c:v>
                </c:pt>
                <c:pt idx="2">
                  <c:v>8.68</c:v>
                </c:pt>
                <c:pt idx="3">
                  <c:v>4.28</c:v>
                </c:pt>
                <c:pt idx="4">
                  <c:v>8.3500000000000068</c:v>
                </c:pt>
              </c:numCache>
            </c:numRef>
          </c:val>
        </c:ser>
        <c:dLbls>
          <c:showLegendKey val="0"/>
          <c:showVal val="0"/>
          <c:showCatName val="0"/>
          <c:showSerName val="0"/>
          <c:showPercent val="0"/>
          <c:showBubbleSize val="0"/>
        </c:dLbls>
        <c:gapWidth val="150"/>
        <c:axId val="72608384"/>
        <c:axId val="72614272"/>
      </c:barChart>
      <c:catAx>
        <c:axId val="72608384"/>
        <c:scaling>
          <c:orientation val="minMax"/>
        </c:scaling>
        <c:delete val="0"/>
        <c:axPos val="b"/>
        <c:numFmt formatCode="General" sourceLinked="1"/>
        <c:majorTickMark val="out"/>
        <c:minorTickMark val="none"/>
        <c:tickLblPos val="nextTo"/>
        <c:crossAx val="72614272"/>
        <c:crosses val="autoZero"/>
        <c:auto val="1"/>
        <c:lblAlgn val="ctr"/>
        <c:lblOffset val="100"/>
        <c:noMultiLvlLbl val="0"/>
      </c:catAx>
      <c:valAx>
        <c:axId val="72614272"/>
        <c:scaling>
          <c:orientation val="minMax"/>
        </c:scaling>
        <c:delete val="0"/>
        <c:axPos val="l"/>
        <c:majorGridlines/>
        <c:numFmt formatCode="General" sourceLinked="1"/>
        <c:majorTickMark val="out"/>
        <c:minorTickMark val="none"/>
        <c:tickLblPos val="nextTo"/>
        <c:crossAx val="72608384"/>
        <c:crosses val="autoZero"/>
        <c:crossBetween val="between"/>
      </c:valAx>
    </c:plotArea>
    <c:legend>
      <c:legendPos val="r"/>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c:v>
                </c:pt>
              </c:strCache>
            </c:strRef>
          </c:tx>
          <c:invertIfNegative val="0"/>
          <c:dPt>
            <c:idx val="0"/>
            <c:invertIfNegative val="0"/>
            <c:bubble3D val="0"/>
            <c:spPr>
              <a:solidFill>
                <a:schemeClr val="accent6"/>
              </a:solidFill>
            </c:spPr>
          </c:dPt>
          <c:dPt>
            <c:idx val="1"/>
            <c:invertIfNegative val="0"/>
            <c:bubble3D val="0"/>
            <c:spPr>
              <a:solidFill>
                <a:schemeClr val="accent4"/>
              </a:solidFill>
            </c:spPr>
          </c:dPt>
          <c:dPt>
            <c:idx val="2"/>
            <c:invertIfNegative val="0"/>
            <c:bubble3D val="0"/>
            <c:spPr>
              <a:solidFill>
                <a:schemeClr val="accent3"/>
              </a:solidFill>
            </c:spPr>
          </c:dPt>
          <c:dPt>
            <c:idx val="3"/>
            <c:invertIfNegative val="0"/>
            <c:bubble3D val="0"/>
            <c:spPr>
              <a:solidFill>
                <a:schemeClr val="accent2"/>
              </a:solidFill>
            </c:spPr>
          </c:dPt>
          <c:dPt>
            <c:idx val="4"/>
            <c:invertIfNegative val="0"/>
            <c:bubble3D val="0"/>
            <c:spPr>
              <a:solidFill>
                <a:schemeClr val="accent1"/>
              </a:solidFill>
            </c:spPr>
          </c:dPt>
          <c:dLbls>
            <c:showLegendKey val="0"/>
            <c:showVal val="1"/>
            <c:showCatName val="0"/>
            <c:showSerName val="0"/>
            <c:showPercent val="0"/>
            <c:showBubbleSize val="0"/>
            <c:showLeaderLines val="0"/>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1.9100000000000001</c:v>
                </c:pt>
                <c:pt idx="1">
                  <c:v>0.86000000000000065</c:v>
                </c:pt>
                <c:pt idx="2">
                  <c:v>2.02</c:v>
                </c:pt>
                <c:pt idx="3">
                  <c:v>2.56</c:v>
                </c:pt>
                <c:pt idx="4">
                  <c:v>3.62</c:v>
                </c:pt>
              </c:numCache>
            </c:numRef>
          </c:val>
        </c:ser>
        <c:dLbls>
          <c:showLegendKey val="0"/>
          <c:showVal val="0"/>
          <c:showCatName val="0"/>
          <c:showSerName val="0"/>
          <c:showPercent val="0"/>
          <c:showBubbleSize val="0"/>
        </c:dLbls>
        <c:gapWidth val="150"/>
        <c:axId val="72677248"/>
        <c:axId val="72678784"/>
      </c:barChart>
      <c:catAx>
        <c:axId val="72677248"/>
        <c:scaling>
          <c:orientation val="minMax"/>
        </c:scaling>
        <c:delete val="0"/>
        <c:axPos val="b"/>
        <c:numFmt formatCode="General" sourceLinked="1"/>
        <c:majorTickMark val="out"/>
        <c:minorTickMark val="none"/>
        <c:tickLblPos val="nextTo"/>
        <c:crossAx val="72678784"/>
        <c:crosses val="autoZero"/>
        <c:auto val="1"/>
        <c:lblAlgn val="ctr"/>
        <c:lblOffset val="100"/>
        <c:noMultiLvlLbl val="0"/>
      </c:catAx>
      <c:valAx>
        <c:axId val="72678784"/>
        <c:scaling>
          <c:orientation val="minMax"/>
        </c:scaling>
        <c:delete val="0"/>
        <c:axPos val="l"/>
        <c:majorGridlines/>
        <c:numFmt formatCode="General" sourceLinked="1"/>
        <c:majorTickMark val="out"/>
        <c:minorTickMark val="none"/>
        <c:tickLblPos val="nextTo"/>
        <c:crossAx val="72677248"/>
        <c:crosses val="autoZero"/>
        <c:crossBetween val="between"/>
      </c:valAx>
    </c:plotArea>
    <c:legend>
      <c:legendPos val="r"/>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spPr>
            <a:solidFill>
              <a:schemeClr val="accent6"/>
            </a:solidFill>
          </c:spPr>
          <c:invertIfNegative val="0"/>
          <c:dPt>
            <c:idx val="1"/>
            <c:invertIfNegative val="0"/>
            <c:bubble3D val="0"/>
            <c:spPr>
              <a:solidFill>
                <a:schemeClr val="accent4"/>
              </a:solidFill>
            </c:spPr>
          </c:dPt>
          <c:dPt>
            <c:idx val="2"/>
            <c:invertIfNegative val="0"/>
            <c:bubble3D val="0"/>
            <c:spPr>
              <a:solidFill>
                <a:schemeClr val="accent3"/>
              </a:solidFill>
            </c:spPr>
          </c:dPt>
          <c:dPt>
            <c:idx val="3"/>
            <c:invertIfNegative val="0"/>
            <c:bubble3D val="0"/>
            <c:spPr>
              <a:solidFill>
                <a:schemeClr val="accent2"/>
              </a:solidFill>
            </c:spPr>
          </c:dPt>
          <c:dPt>
            <c:idx val="4"/>
            <c:invertIfNegative val="0"/>
            <c:bubble3D val="0"/>
            <c:spPr>
              <a:solidFill>
                <a:schemeClr val="accent1"/>
              </a:solidFill>
            </c:spPr>
          </c:dPt>
          <c:dLbls>
            <c:showLegendKey val="0"/>
            <c:showVal val="1"/>
            <c:showCatName val="0"/>
            <c:showSerName val="0"/>
            <c:showPercent val="0"/>
            <c:showBubbleSize val="0"/>
            <c:showLeaderLines val="0"/>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48.290000000000013</c:v>
                </c:pt>
                <c:pt idx="1">
                  <c:v>51.08</c:v>
                </c:pt>
                <c:pt idx="2">
                  <c:v>52.11</c:v>
                </c:pt>
                <c:pt idx="3">
                  <c:v>55.98</c:v>
                </c:pt>
                <c:pt idx="4">
                  <c:v>55.93</c:v>
                </c:pt>
              </c:numCache>
            </c:numRef>
          </c:val>
        </c:ser>
        <c:dLbls>
          <c:showLegendKey val="0"/>
          <c:showVal val="0"/>
          <c:showCatName val="0"/>
          <c:showSerName val="0"/>
          <c:showPercent val="0"/>
          <c:showBubbleSize val="0"/>
        </c:dLbls>
        <c:gapWidth val="150"/>
        <c:axId val="72705152"/>
        <c:axId val="72706688"/>
      </c:barChart>
      <c:catAx>
        <c:axId val="72705152"/>
        <c:scaling>
          <c:orientation val="minMax"/>
        </c:scaling>
        <c:delete val="0"/>
        <c:axPos val="b"/>
        <c:numFmt formatCode="General" sourceLinked="1"/>
        <c:majorTickMark val="out"/>
        <c:minorTickMark val="none"/>
        <c:tickLblPos val="nextTo"/>
        <c:crossAx val="72706688"/>
        <c:crosses val="autoZero"/>
        <c:auto val="1"/>
        <c:lblAlgn val="ctr"/>
        <c:lblOffset val="100"/>
        <c:noMultiLvlLbl val="0"/>
      </c:catAx>
      <c:valAx>
        <c:axId val="72706688"/>
        <c:scaling>
          <c:orientation val="minMax"/>
        </c:scaling>
        <c:delete val="0"/>
        <c:axPos val="l"/>
        <c:majorGridlines/>
        <c:numFmt formatCode="General" sourceLinked="1"/>
        <c:majorTickMark val="out"/>
        <c:minorTickMark val="none"/>
        <c:tickLblPos val="nextTo"/>
        <c:crossAx val="72705152"/>
        <c:crosses val="autoZero"/>
        <c:crossBetween val="between"/>
      </c:valAx>
    </c:plotArea>
    <c:legend>
      <c:legendPos val="r"/>
      <c:overlay val="0"/>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c:v>
                </c:pt>
              </c:strCache>
            </c:strRef>
          </c:tx>
          <c:spPr>
            <a:solidFill>
              <a:schemeClr val="accent6"/>
            </a:solidFill>
          </c:spPr>
          <c:invertIfNegative val="0"/>
          <c:dPt>
            <c:idx val="1"/>
            <c:invertIfNegative val="0"/>
            <c:bubble3D val="0"/>
            <c:spPr>
              <a:solidFill>
                <a:schemeClr val="accent4"/>
              </a:solidFill>
            </c:spPr>
          </c:dPt>
          <c:dPt>
            <c:idx val="2"/>
            <c:invertIfNegative val="0"/>
            <c:bubble3D val="0"/>
            <c:spPr>
              <a:solidFill>
                <a:schemeClr val="accent3"/>
              </a:solidFill>
            </c:spPr>
          </c:dPt>
          <c:dPt>
            <c:idx val="3"/>
            <c:invertIfNegative val="0"/>
            <c:bubble3D val="0"/>
            <c:spPr>
              <a:solidFill>
                <a:schemeClr val="accent2"/>
              </a:solidFill>
            </c:spPr>
          </c:dPt>
          <c:dPt>
            <c:idx val="4"/>
            <c:invertIfNegative val="0"/>
            <c:bubble3D val="0"/>
            <c:spPr>
              <a:solidFill>
                <a:schemeClr val="accent1"/>
              </a:solidFill>
            </c:spPr>
          </c:dPt>
          <c:dLbls>
            <c:dLbl>
              <c:idx val="0"/>
              <c:showLegendKey val="0"/>
              <c:showVal val="1"/>
              <c:showCatName val="0"/>
              <c:showSerName val="0"/>
              <c:showPercent val="0"/>
              <c:showBubbleSize val="0"/>
            </c:dLbl>
            <c:dLbl>
              <c:idx val="1"/>
              <c:showLegendKey val="0"/>
              <c:showVal val="1"/>
              <c:showCatName val="0"/>
              <c:showSerName val="0"/>
              <c:showPercent val="0"/>
              <c:showBubbleSize val="0"/>
            </c:dLbl>
            <c:dLbl>
              <c:idx val="2"/>
              <c:showLegendKey val="0"/>
              <c:showVal val="1"/>
              <c:showCatName val="0"/>
              <c:showSerName val="0"/>
              <c:showPercent val="0"/>
              <c:showBubbleSize val="0"/>
            </c:dLbl>
            <c:dLbl>
              <c:idx val="3"/>
              <c:showLegendKey val="0"/>
              <c:showVal val="1"/>
              <c:showCatName val="0"/>
              <c:showSerName val="0"/>
              <c:showPercent val="0"/>
              <c:showBubbleSize val="0"/>
            </c:dLbl>
            <c:dLbl>
              <c:idx val="4"/>
              <c:showLegendKey val="0"/>
              <c:showVal val="1"/>
              <c:showCatName val="0"/>
              <c:showSerName val="0"/>
              <c:showPercent val="0"/>
              <c:showBubbleSize val="0"/>
            </c:dLbl>
            <c:showLegendKey val="0"/>
            <c:showVal val="0"/>
            <c:showCatName val="0"/>
            <c:showSerName val="0"/>
            <c:showPercent val="0"/>
            <c:showBubbleSize val="0"/>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8.43</c:v>
                </c:pt>
                <c:pt idx="1">
                  <c:v>8.7100000000000009</c:v>
                </c:pt>
                <c:pt idx="2">
                  <c:v>8.31</c:v>
                </c:pt>
                <c:pt idx="3">
                  <c:v>29.3</c:v>
                </c:pt>
                <c:pt idx="4">
                  <c:v>9.2100000000000009</c:v>
                </c:pt>
              </c:numCache>
            </c:numRef>
          </c:val>
        </c:ser>
        <c:dLbls>
          <c:showLegendKey val="0"/>
          <c:showVal val="0"/>
          <c:showCatName val="0"/>
          <c:showSerName val="0"/>
          <c:showPercent val="0"/>
          <c:showBubbleSize val="0"/>
        </c:dLbls>
        <c:gapWidth val="150"/>
        <c:axId val="72377088"/>
        <c:axId val="72378624"/>
      </c:barChart>
      <c:catAx>
        <c:axId val="72377088"/>
        <c:scaling>
          <c:orientation val="minMax"/>
        </c:scaling>
        <c:delete val="0"/>
        <c:axPos val="b"/>
        <c:numFmt formatCode="General" sourceLinked="1"/>
        <c:majorTickMark val="out"/>
        <c:minorTickMark val="none"/>
        <c:tickLblPos val="nextTo"/>
        <c:crossAx val="72378624"/>
        <c:crosses val="autoZero"/>
        <c:auto val="1"/>
        <c:lblAlgn val="ctr"/>
        <c:lblOffset val="100"/>
        <c:noMultiLvlLbl val="0"/>
      </c:catAx>
      <c:valAx>
        <c:axId val="72378624"/>
        <c:scaling>
          <c:orientation val="minMax"/>
        </c:scaling>
        <c:delete val="0"/>
        <c:axPos val="l"/>
        <c:majorGridlines/>
        <c:numFmt formatCode="General" sourceLinked="1"/>
        <c:majorTickMark val="out"/>
        <c:minorTickMark val="none"/>
        <c:tickLblPos val="nextTo"/>
        <c:crossAx val="72377088"/>
        <c:crosses val="autoZero"/>
        <c:crossBetween val="between"/>
      </c:valAx>
    </c:plotArea>
    <c:legend>
      <c:legendPos val="r"/>
      <c:overlay val="0"/>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c:v>
                </c:pt>
              </c:strCache>
            </c:strRef>
          </c:tx>
          <c:invertIfNegative val="0"/>
          <c:dPt>
            <c:idx val="0"/>
            <c:invertIfNegative val="0"/>
            <c:bubble3D val="0"/>
            <c:spPr>
              <a:solidFill>
                <a:schemeClr val="accent6"/>
              </a:solidFill>
            </c:spPr>
          </c:dPt>
          <c:dPt>
            <c:idx val="1"/>
            <c:invertIfNegative val="0"/>
            <c:bubble3D val="0"/>
            <c:spPr>
              <a:solidFill>
                <a:schemeClr val="accent4"/>
              </a:solidFill>
            </c:spPr>
          </c:dPt>
          <c:dPt>
            <c:idx val="2"/>
            <c:invertIfNegative val="0"/>
            <c:bubble3D val="0"/>
            <c:spPr>
              <a:solidFill>
                <a:schemeClr val="accent3"/>
              </a:solidFill>
            </c:spPr>
          </c:dPt>
          <c:dPt>
            <c:idx val="3"/>
            <c:invertIfNegative val="0"/>
            <c:bubble3D val="0"/>
            <c:spPr>
              <a:solidFill>
                <a:schemeClr val="accent2"/>
              </a:solidFill>
            </c:spPr>
          </c:dPt>
          <c:dPt>
            <c:idx val="4"/>
            <c:invertIfNegative val="0"/>
            <c:bubble3D val="0"/>
            <c:spPr>
              <a:solidFill>
                <a:schemeClr val="accent1"/>
              </a:solidFill>
            </c:spPr>
          </c:dPt>
          <c:dLbls>
            <c:showLegendKey val="0"/>
            <c:showVal val="1"/>
            <c:showCatName val="0"/>
            <c:showSerName val="0"/>
            <c:showPercent val="0"/>
            <c:showBubbleSize val="0"/>
            <c:showLeaderLines val="0"/>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2.11</c:v>
                </c:pt>
                <c:pt idx="1">
                  <c:v>1.8900000000000001</c:v>
                </c:pt>
                <c:pt idx="2">
                  <c:v>1.9400000000000082</c:v>
                </c:pt>
                <c:pt idx="3">
                  <c:v>0.94000000000000061</c:v>
                </c:pt>
                <c:pt idx="4">
                  <c:v>1.9300000000000082</c:v>
                </c:pt>
              </c:numCache>
            </c:numRef>
          </c:val>
        </c:ser>
        <c:dLbls>
          <c:showLegendKey val="0"/>
          <c:showVal val="0"/>
          <c:showCatName val="0"/>
          <c:showSerName val="0"/>
          <c:showPercent val="0"/>
          <c:showBubbleSize val="0"/>
        </c:dLbls>
        <c:gapWidth val="150"/>
        <c:axId val="72810880"/>
        <c:axId val="72812416"/>
      </c:barChart>
      <c:catAx>
        <c:axId val="72810880"/>
        <c:scaling>
          <c:orientation val="minMax"/>
        </c:scaling>
        <c:delete val="0"/>
        <c:axPos val="b"/>
        <c:numFmt formatCode="General" sourceLinked="1"/>
        <c:majorTickMark val="out"/>
        <c:minorTickMark val="none"/>
        <c:tickLblPos val="nextTo"/>
        <c:crossAx val="72812416"/>
        <c:crosses val="autoZero"/>
        <c:auto val="1"/>
        <c:lblAlgn val="ctr"/>
        <c:lblOffset val="100"/>
        <c:noMultiLvlLbl val="0"/>
      </c:catAx>
      <c:valAx>
        <c:axId val="72812416"/>
        <c:scaling>
          <c:orientation val="minMax"/>
        </c:scaling>
        <c:delete val="0"/>
        <c:axPos val="l"/>
        <c:majorGridlines/>
        <c:numFmt formatCode="General" sourceLinked="1"/>
        <c:majorTickMark val="out"/>
        <c:minorTickMark val="none"/>
        <c:tickLblPos val="nextTo"/>
        <c:crossAx val="72810880"/>
        <c:crosses val="autoZero"/>
        <c:crossBetween val="between"/>
      </c:valAx>
    </c:plotArea>
    <c:legend>
      <c:legendPos val="r"/>
      <c:overlay val="0"/>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c:v>
                </c:pt>
              </c:strCache>
            </c:strRef>
          </c:tx>
          <c:spPr>
            <a:solidFill>
              <a:schemeClr val="accent6"/>
            </a:solidFill>
          </c:spPr>
          <c:invertIfNegative val="0"/>
          <c:dPt>
            <c:idx val="1"/>
            <c:invertIfNegative val="0"/>
            <c:bubble3D val="0"/>
            <c:spPr>
              <a:solidFill>
                <a:schemeClr val="accent4"/>
              </a:solidFill>
            </c:spPr>
          </c:dPt>
          <c:dPt>
            <c:idx val="2"/>
            <c:invertIfNegative val="0"/>
            <c:bubble3D val="0"/>
            <c:spPr>
              <a:solidFill>
                <a:schemeClr val="accent3"/>
              </a:solidFill>
            </c:spPr>
          </c:dPt>
          <c:dPt>
            <c:idx val="3"/>
            <c:invertIfNegative val="0"/>
            <c:bubble3D val="0"/>
            <c:spPr>
              <a:solidFill>
                <a:schemeClr val="accent2"/>
              </a:solidFill>
            </c:spPr>
          </c:dPt>
          <c:dPt>
            <c:idx val="4"/>
            <c:invertIfNegative val="0"/>
            <c:bubble3D val="0"/>
            <c:spPr>
              <a:solidFill>
                <a:schemeClr val="accent1"/>
              </a:solidFill>
            </c:spPr>
          </c:dPt>
          <c:dLbls>
            <c:showLegendKey val="0"/>
            <c:showVal val="1"/>
            <c:showCatName val="0"/>
            <c:showSerName val="0"/>
            <c:showPercent val="0"/>
            <c:showBubbleSize val="0"/>
            <c:showLeaderLines val="0"/>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7.6499999999999995</c:v>
                </c:pt>
                <c:pt idx="1">
                  <c:v>8.2900000000000009</c:v>
                </c:pt>
                <c:pt idx="2">
                  <c:v>9.0400000000000009</c:v>
                </c:pt>
                <c:pt idx="3">
                  <c:v>6.2</c:v>
                </c:pt>
                <c:pt idx="4">
                  <c:v>7.02</c:v>
                </c:pt>
              </c:numCache>
            </c:numRef>
          </c:val>
        </c:ser>
        <c:dLbls>
          <c:showLegendKey val="0"/>
          <c:showVal val="0"/>
          <c:showCatName val="0"/>
          <c:showSerName val="0"/>
          <c:showPercent val="0"/>
          <c:showBubbleSize val="0"/>
        </c:dLbls>
        <c:gapWidth val="150"/>
        <c:axId val="72846720"/>
        <c:axId val="72848512"/>
      </c:barChart>
      <c:catAx>
        <c:axId val="72846720"/>
        <c:scaling>
          <c:orientation val="minMax"/>
        </c:scaling>
        <c:delete val="0"/>
        <c:axPos val="b"/>
        <c:numFmt formatCode="General" sourceLinked="1"/>
        <c:majorTickMark val="out"/>
        <c:minorTickMark val="none"/>
        <c:tickLblPos val="nextTo"/>
        <c:crossAx val="72848512"/>
        <c:crosses val="autoZero"/>
        <c:auto val="1"/>
        <c:lblAlgn val="ctr"/>
        <c:lblOffset val="100"/>
        <c:noMultiLvlLbl val="0"/>
      </c:catAx>
      <c:valAx>
        <c:axId val="72848512"/>
        <c:scaling>
          <c:orientation val="minMax"/>
        </c:scaling>
        <c:delete val="0"/>
        <c:axPos val="l"/>
        <c:majorGridlines/>
        <c:numFmt formatCode="General" sourceLinked="1"/>
        <c:majorTickMark val="out"/>
        <c:minorTickMark val="none"/>
        <c:tickLblPos val="nextTo"/>
        <c:crossAx val="72846720"/>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c:v>
                </c:pt>
              </c:strCache>
            </c:strRef>
          </c:tx>
          <c:spPr>
            <a:solidFill>
              <a:schemeClr val="accent6"/>
            </a:solidFill>
          </c:spPr>
          <c:invertIfNegative val="0"/>
          <c:dPt>
            <c:idx val="1"/>
            <c:invertIfNegative val="0"/>
            <c:bubble3D val="0"/>
            <c:spPr>
              <a:solidFill>
                <a:schemeClr val="accent4"/>
              </a:solidFill>
            </c:spPr>
          </c:dPt>
          <c:dPt>
            <c:idx val="2"/>
            <c:invertIfNegative val="0"/>
            <c:bubble3D val="0"/>
            <c:spPr>
              <a:solidFill>
                <a:schemeClr val="accent3"/>
              </a:solidFill>
            </c:spPr>
          </c:dPt>
          <c:dPt>
            <c:idx val="3"/>
            <c:invertIfNegative val="0"/>
            <c:bubble3D val="0"/>
            <c:spPr>
              <a:solidFill>
                <a:schemeClr val="accent2"/>
              </a:solidFill>
            </c:spPr>
          </c:dPt>
          <c:dPt>
            <c:idx val="4"/>
            <c:invertIfNegative val="0"/>
            <c:bubble3D val="0"/>
            <c:spPr>
              <a:solidFill>
                <a:schemeClr val="accent1"/>
              </a:solidFill>
            </c:spPr>
          </c:dPt>
          <c:dLbls>
            <c:showLegendKey val="0"/>
            <c:showVal val="1"/>
            <c:showCatName val="0"/>
            <c:showSerName val="0"/>
            <c:showPercent val="0"/>
            <c:showBubbleSize val="0"/>
            <c:showLeaderLines val="0"/>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1.1700000000000021</c:v>
                </c:pt>
                <c:pt idx="1">
                  <c:v>1.07</c:v>
                </c:pt>
                <c:pt idx="2">
                  <c:v>1.1200000000000001</c:v>
                </c:pt>
                <c:pt idx="3">
                  <c:v>1</c:v>
                </c:pt>
                <c:pt idx="4">
                  <c:v>1.02</c:v>
                </c:pt>
              </c:numCache>
            </c:numRef>
          </c:val>
        </c:ser>
        <c:dLbls>
          <c:showLegendKey val="0"/>
          <c:showVal val="0"/>
          <c:showCatName val="0"/>
          <c:showSerName val="0"/>
          <c:showPercent val="0"/>
          <c:showBubbleSize val="0"/>
        </c:dLbls>
        <c:gapWidth val="150"/>
        <c:axId val="67379584"/>
        <c:axId val="67381120"/>
      </c:barChart>
      <c:catAx>
        <c:axId val="67379584"/>
        <c:scaling>
          <c:orientation val="minMax"/>
        </c:scaling>
        <c:delete val="0"/>
        <c:axPos val="b"/>
        <c:numFmt formatCode="General" sourceLinked="1"/>
        <c:majorTickMark val="out"/>
        <c:minorTickMark val="none"/>
        <c:tickLblPos val="nextTo"/>
        <c:crossAx val="67381120"/>
        <c:crosses val="autoZero"/>
        <c:auto val="1"/>
        <c:lblAlgn val="ctr"/>
        <c:lblOffset val="100"/>
        <c:noMultiLvlLbl val="0"/>
      </c:catAx>
      <c:valAx>
        <c:axId val="67381120"/>
        <c:scaling>
          <c:orientation val="minMax"/>
        </c:scaling>
        <c:delete val="0"/>
        <c:axPos val="l"/>
        <c:majorGridlines/>
        <c:numFmt formatCode="General" sourceLinked="1"/>
        <c:majorTickMark val="out"/>
        <c:minorTickMark val="none"/>
        <c:tickLblPos val="nextTo"/>
        <c:crossAx val="67379584"/>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c:v>
                </c:pt>
              </c:strCache>
            </c:strRef>
          </c:tx>
          <c:invertIfNegative val="0"/>
          <c:dPt>
            <c:idx val="0"/>
            <c:invertIfNegative val="0"/>
            <c:bubble3D val="0"/>
            <c:spPr>
              <a:solidFill>
                <a:schemeClr val="accent6"/>
              </a:solidFill>
            </c:spPr>
          </c:dPt>
          <c:dPt>
            <c:idx val="1"/>
            <c:invertIfNegative val="0"/>
            <c:bubble3D val="0"/>
            <c:spPr>
              <a:solidFill>
                <a:schemeClr val="accent4"/>
              </a:solidFill>
            </c:spPr>
          </c:dPt>
          <c:dPt>
            <c:idx val="2"/>
            <c:invertIfNegative val="0"/>
            <c:bubble3D val="0"/>
            <c:spPr>
              <a:solidFill>
                <a:schemeClr val="accent3"/>
              </a:solidFill>
            </c:spPr>
          </c:dPt>
          <c:dPt>
            <c:idx val="3"/>
            <c:invertIfNegative val="0"/>
            <c:bubble3D val="0"/>
            <c:spPr>
              <a:solidFill>
                <a:schemeClr val="accent2"/>
              </a:solidFill>
            </c:spPr>
          </c:dPt>
          <c:dPt>
            <c:idx val="4"/>
            <c:invertIfNegative val="0"/>
            <c:bubble3D val="0"/>
            <c:spPr>
              <a:solidFill>
                <a:schemeClr val="accent1"/>
              </a:solidFill>
            </c:spPr>
          </c:dPt>
          <c:dLbls>
            <c:showLegendKey val="0"/>
            <c:showVal val="1"/>
            <c:showCatName val="0"/>
            <c:showSerName val="0"/>
            <c:showPercent val="0"/>
            <c:showBubbleSize val="0"/>
            <c:showLeaderLines val="0"/>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6.71</c:v>
                </c:pt>
                <c:pt idx="1">
                  <c:v>7.04</c:v>
                </c:pt>
                <c:pt idx="2">
                  <c:v>6.6499999999999995</c:v>
                </c:pt>
                <c:pt idx="3">
                  <c:v>6.76</c:v>
                </c:pt>
                <c:pt idx="4">
                  <c:v>5.72</c:v>
                </c:pt>
              </c:numCache>
            </c:numRef>
          </c:val>
        </c:ser>
        <c:dLbls>
          <c:showLegendKey val="0"/>
          <c:showVal val="0"/>
          <c:showCatName val="0"/>
          <c:showSerName val="0"/>
          <c:showPercent val="0"/>
          <c:showBubbleSize val="0"/>
        </c:dLbls>
        <c:gapWidth val="150"/>
        <c:axId val="38400000"/>
        <c:axId val="38401536"/>
      </c:barChart>
      <c:catAx>
        <c:axId val="38400000"/>
        <c:scaling>
          <c:orientation val="minMax"/>
        </c:scaling>
        <c:delete val="0"/>
        <c:axPos val="b"/>
        <c:numFmt formatCode="General" sourceLinked="1"/>
        <c:majorTickMark val="out"/>
        <c:minorTickMark val="none"/>
        <c:tickLblPos val="nextTo"/>
        <c:crossAx val="38401536"/>
        <c:crosses val="autoZero"/>
        <c:auto val="1"/>
        <c:lblAlgn val="ctr"/>
        <c:lblOffset val="100"/>
        <c:noMultiLvlLbl val="0"/>
      </c:catAx>
      <c:valAx>
        <c:axId val="38401536"/>
        <c:scaling>
          <c:orientation val="minMax"/>
        </c:scaling>
        <c:delete val="0"/>
        <c:axPos val="l"/>
        <c:majorGridlines/>
        <c:numFmt formatCode="General" sourceLinked="1"/>
        <c:majorTickMark val="out"/>
        <c:minorTickMark val="none"/>
        <c:tickLblPos val="nextTo"/>
        <c:crossAx val="38400000"/>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c:v>
                </c:pt>
              </c:strCache>
            </c:strRef>
          </c:tx>
          <c:invertIfNegative val="0"/>
          <c:dPt>
            <c:idx val="0"/>
            <c:invertIfNegative val="0"/>
            <c:bubble3D val="0"/>
            <c:spPr>
              <a:solidFill>
                <a:schemeClr val="accent6"/>
              </a:solidFill>
            </c:spPr>
          </c:dPt>
          <c:dPt>
            <c:idx val="1"/>
            <c:invertIfNegative val="0"/>
            <c:bubble3D val="0"/>
            <c:spPr>
              <a:solidFill>
                <a:schemeClr val="accent4"/>
              </a:solidFill>
            </c:spPr>
          </c:dPt>
          <c:dPt>
            <c:idx val="2"/>
            <c:invertIfNegative val="0"/>
            <c:bubble3D val="0"/>
            <c:spPr>
              <a:solidFill>
                <a:schemeClr val="accent3"/>
              </a:solidFill>
            </c:spPr>
          </c:dPt>
          <c:dPt>
            <c:idx val="3"/>
            <c:invertIfNegative val="0"/>
            <c:bubble3D val="0"/>
            <c:spPr>
              <a:solidFill>
                <a:schemeClr val="accent2"/>
              </a:solidFill>
            </c:spPr>
          </c:dPt>
          <c:dPt>
            <c:idx val="4"/>
            <c:invertIfNegative val="0"/>
            <c:bubble3D val="0"/>
            <c:spPr>
              <a:solidFill>
                <a:schemeClr val="accent1"/>
              </a:solidFill>
            </c:spPr>
          </c:dPt>
          <c:dLbls>
            <c:showLegendKey val="0"/>
            <c:showVal val="1"/>
            <c:showCatName val="0"/>
            <c:showSerName val="0"/>
            <c:showPercent val="0"/>
            <c:showBubbleSize val="0"/>
            <c:showLeaderLines val="0"/>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29.830000000000005</c:v>
                </c:pt>
                <c:pt idx="1">
                  <c:v>33.18</c:v>
                </c:pt>
                <c:pt idx="2">
                  <c:v>28.04</c:v>
                </c:pt>
                <c:pt idx="3">
                  <c:v>14.96</c:v>
                </c:pt>
                <c:pt idx="4">
                  <c:v>15.28</c:v>
                </c:pt>
              </c:numCache>
            </c:numRef>
          </c:val>
        </c:ser>
        <c:dLbls>
          <c:showLegendKey val="0"/>
          <c:showVal val="0"/>
          <c:showCatName val="0"/>
          <c:showSerName val="0"/>
          <c:showPercent val="0"/>
          <c:showBubbleSize val="0"/>
        </c:dLbls>
        <c:gapWidth val="150"/>
        <c:axId val="67431808"/>
        <c:axId val="72443008"/>
      </c:barChart>
      <c:catAx>
        <c:axId val="67431808"/>
        <c:scaling>
          <c:orientation val="minMax"/>
        </c:scaling>
        <c:delete val="0"/>
        <c:axPos val="b"/>
        <c:numFmt formatCode="General" sourceLinked="1"/>
        <c:majorTickMark val="out"/>
        <c:minorTickMark val="none"/>
        <c:tickLblPos val="nextTo"/>
        <c:crossAx val="72443008"/>
        <c:crosses val="autoZero"/>
        <c:auto val="1"/>
        <c:lblAlgn val="ctr"/>
        <c:lblOffset val="100"/>
        <c:noMultiLvlLbl val="0"/>
      </c:catAx>
      <c:valAx>
        <c:axId val="72443008"/>
        <c:scaling>
          <c:orientation val="minMax"/>
        </c:scaling>
        <c:delete val="0"/>
        <c:axPos val="l"/>
        <c:majorGridlines/>
        <c:numFmt formatCode="General" sourceLinked="1"/>
        <c:majorTickMark val="out"/>
        <c:minorTickMark val="none"/>
        <c:tickLblPos val="nextTo"/>
        <c:crossAx val="67431808"/>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c:v>
                </c:pt>
              </c:strCache>
            </c:strRef>
          </c:tx>
          <c:invertIfNegative val="0"/>
          <c:dPt>
            <c:idx val="0"/>
            <c:invertIfNegative val="0"/>
            <c:bubble3D val="0"/>
            <c:spPr>
              <a:solidFill>
                <a:schemeClr val="accent6"/>
              </a:solidFill>
            </c:spPr>
          </c:dPt>
          <c:dPt>
            <c:idx val="1"/>
            <c:invertIfNegative val="0"/>
            <c:bubble3D val="0"/>
            <c:spPr>
              <a:solidFill>
                <a:schemeClr val="accent4"/>
              </a:solidFill>
            </c:spPr>
          </c:dPt>
          <c:dPt>
            <c:idx val="2"/>
            <c:invertIfNegative val="0"/>
            <c:bubble3D val="0"/>
            <c:spPr>
              <a:solidFill>
                <a:schemeClr val="accent3"/>
              </a:solidFill>
            </c:spPr>
          </c:dPt>
          <c:dPt>
            <c:idx val="3"/>
            <c:invertIfNegative val="0"/>
            <c:bubble3D val="0"/>
            <c:spPr>
              <a:solidFill>
                <a:schemeClr val="accent2"/>
              </a:solidFill>
            </c:spPr>
          </c:dPt>
          <c:dPt>
            <c:idx val="4"/>
            <c:invertIfNegative val="0"/>
            <c:bubble3D val="0"/>
            <c:spPr>
              <a:solidFill>
                <a:schemeClr val="accent1"/>
              </a:solidFill>
            </c:spPr>
          </c:dPt>
          <c:dLbls>
            <c:showLegendKey val="0"/>
            <c:showVal val="1"/>
            <c:showCatName val="0"/>
            <c:showSerName val="0"/>
            <c:showPercent val="0"/>
            <c:showBubbleSize val="0"/>
            <c:showLeaderLines val="0"/>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9.99</c:v>
                </c:pt>
                <c:pt idx="1">
                  <c:v>10.96</c:v>
                </c:pt>
                <c:pt idx="2">
                  <c:v>10.239999999999998</c:v>
                </c:pt>
                <c:pt idx="3">
                  <c:v>9.629999999999999</c:v>
                </c:pt>
                <c:pt idx="4">
                  <c:v>9.7800000000000011</c:v>
                </c:pt>
              </c:numCache>
            </c:numRef>
          </c:val>
        </c:ser>
        <c:dLbls>
          <c:showLegendKey val="0"/>
          <c:showVal val="0"/>
          <c:showCatName val="0"/>
          <c:showSerName val="0"/>
          <c:showPercent val="0"/>
          <c:showBubbleSize val="0"/>
        </c:dLbls>
        <c:gapWidth val="150"/>
        <c:axId val="72461312"/>
        <c:axId val="72471296"/>
      </c:barChart>
      <c:catAx>
        <c:axId val="72461312"/>
        <c:scaling>
          <c:orientation val="minMax"/>
        </c:scaling>
        <c:delete val="0"/>
        <c:axPos val="b"/>
        <c:numFmt formatCode="General" sourceLinked="1"/>
        <c:majorTickMark val="out"/>
        <c:minorTickMark val="none"/>
        <c:tickLblPos val="nextTo"/>
        <c:crossAx val="72471296"/>
        <c:crosses val="autoZero"/>
        <c:auto val="1"/>
        <c:lblAlgn val="ctr"/>
        <c:lblOffset val="100"/>
        <c:noMultiLvlLbl val="0"/>
      </c:catAx>
      <c:valAx>
        <c:axId val="72471296"/>
        <c:scaling>
          <c:orientation val="minMax"/>
        </c:scaling>
        <c:delete val="0"/>
        <c:axPos val="l"/>
        <c:majorGridlines/>
        <c:numFmt formatCode="General" sourceLinked="1"/>
        <c:majorTickMark val="out"/>
        <c:minorTickMark val="none"/>
        <c:tickLblPos val="nextTo"/>
        <c:crossAx val="72461312"/>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c:v>
                </c:pt>
              </c:strCache>
            </c:strRef>
          </c:tx>
          <c:invertIfNegative val="0"/>
          <c:dPt>
            <c:idx val="0"/>
            <c:invertIfNegative val="0"/>
            <c:bubble3D val="0"/>
            <c:spPr>
              <a:solidFill>
                <a:schemeClr val="accent6"/>
              </a:solidFill>
            </c:spPr>
          </c:dPt>
          <c:dPt>
            <c:idx val="1"/>
            <c:invertIfNegative val="0"/>
            <c:bubble3D val="0"/>
            <c:spPr>
              <a:solidFill>
                <a:schemeClr val="accent4"/>
              </a:solidFill>
            </c:spPr>
          </c:dPt>
          <c:dPt>
            <c:idx val="2"/>
            <c:invertIfNegative val="0"/>
            <c:bubble3D val="0"/>
            <c:spPr>
              <a:solidFill>
                <a:schemeClr val="accent3"/>
              </a:solidFill>
            </c:spPr>
          </c:dPt>
          <c:dPt>
            <c:idx val="3"/>
            <c:invertIfNegative val="0"/>
            <c:bubble3D val="0"/>
            <c:spPr>
              <a:solidFill>
                <a:schemeClr val="accent2"/>
              </a:solidFill>
            </c:spPr>
          </c:dPt>
          <c:dPt>
            <c:idx val="4"/>
            <c:invertIfNegative val="0"/>
            <c:bubble3D val="0"/>
            <c:spPr>
              <a:solidFill>
                <a:schemeClr val="accent1"/>
              </a:solidFill>
            </c:spPr>
          </c:dPt>
          <c:dLbls>
            <c:showLegendKey val="0"/>
            <c:showVal val="1"/>
            <c:showCatName val="0"/>
            <c:showSerName val="0"/>
            <c:showPercent val="0"/>
            <c:showBubbleSize val="0"/>
            <c:showLeaderLines val="0"/>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90.910000000000025</c:v>
                </c:pt>
                <c:pt idx="1">
                  <c:v>90.11</c:v>
                </c:pt>
                <c:pt idx="2">
                  <c:v>90.710000000000022</c:v>
                </c:pt>
                <c:pt idx="3">
                  <c:v>91.210000000000022</c:v>
                </c:pt>
                <c:pt idx="4">
                  <c:v>91.09</c:v>
                </c:pt>
              </c:numCache>
            </c:numRef>
          </c:val>
        </c:ser>
        <c:dLbls>
          <c:showLegendKey val="0"/>
          <c:showVal val="0"/>
          <c:showCatName val="0"/>
          <c:showSerName val="0"/>
          <c:showPercent val="0"/>
          <c:showBubbleSize val="0"/>
        </c:dLbls>
        <c:gapWidth val="150"/>
        <c:axId val="71572096"/>
        <c:axId val="71586176"/>
      </c:barChart>
      <c:catAx>
        <c:axId val="71572096"/>
        <c:scaling>
          <c:orientation val="minMax"/>
        </c:scaling>
        <c:delete val="0"/>
        <c:axPos val="b"/>
        <c:numFmt formatCode="General" sourceLinked="1"/>
        <c:majorTickMark val="out"/>
        <c:minorTickMark val="none"/>
        <c:tickLblPos val="nextTo"/>
        <c:crossAx val="71586176"/>
        <c:crosses val="autoZero"/>
        <c:auto val="1"/>
        <c:lblAlgn val="ctr"/>
        <c:lblOffset val="100"/>
        <c:noMultiLvlLbl val="0"/>
      </c:catAx>
      <c:valAx>
        <c:axId val="71586176"/>
        <c:scaling>
          <c:orientation val="minMax"/>
        </c:scaling>
        <c:delete val="0"/>
        <c:axPos val="l"/>
        <c:majorGridlines/>
        <c:numFmt formatCode="General" sourceLinked="1"/>
        <c:majorTickMark val="out"/>
        <c:minorTickMark val="none"/>
        <c:tickLblPos val="nextTo"/>
        <c:crossAx val="71572096"/>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c:v>
                </c:pt>
              </c:strCache>
            </c:strRef>
          </c:tx>
          <c:invertIfNegative val="0"/>
          <c:dPt>
            <c:idx val="0"/>
            <c:invertIfNegative val="0"/>
            <c:bubble3D val="0"/>
            <c:spPr>
              <a:solidFill>
                <a:schemeClr val="accent6"/>
              </a:solidFill>
            </c:spPr>
          </c:dPt>
          <c:dPt>
            <c:idx val="1"/>
            <c:invertIfNegative val="0"/>
            <c:bubble3D val="0"/>
            <c:spPr>
              <a:solidFill>
                <a:schemeClr val="accent4"/>
              </a:solidFill>
            </c:spPr>
          </c:dPt>
          <c:dPt>
            <c:idx val="2"/>
            <c:invertIfNegative val="0"/>
            <c:bubble3D val="0"/>
            <c:spPr>
              <a:solidFill>
                <a:schemeClr val="accent3"/>
              </a:solidFill>
            </c:spPr>
          </c:dPt>
          <c:dPt>
            <c:idx val="3"/>
            <c:invertIfNegative val="0"/>
            <c:bubble3D val="0"/>
            <c:spPr>
              <a:solidFill>
                <a:schemeClr val="accent2"/>
              </a:solidFill>
            </c:spPr>
          </c:dPt>
          <c:dLbls>
            <c:showLegendKey val="0"/>
            <c:showVal val="1"/>
            <c:showCatName val="0"/>
            <c:showSerName val="0"/>
            <c:showPercent val="0"/>
            <c:showBubbleSize val="0"/>
            <c:showLeaderLines val="0"/>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80.959999999999994</c:v>
                </c:pt>
                <c:pt idx="1">
                  <c:v>78.27</c:v>
                </c:pt>
                <c:pt idx="2">
                  <c:v>78.78</c:v>
                </c:pt>
                <c:pt idx="3">
                  <c:v>79.08</c:v>
                </c:pt>
                <c:pt idx="4">
                  <c:v>80.430000000000007</c:v>
                </c:pt>
              </c:numCache>
            </c:numRef>
          </c:val>
        </c:ser>
        <c:dLbls>
          <c:showLegendKey val="0"/>
          <c:showVal val="0"/>
          <c:showCatName val="0"/>
          <c:showSerName val="0"/>
          <c:showPercent val="0"/>
          <c:showBubbleSize val="0"/>
        </c:dLbls>
        <c:gapWidth val="150"/>
        <c:axId val="72505216"/>
        <c:axId val="72506752"/>
      </c:barChart>
      <c:catAx>
        <c:axId val="72505216"/>
        <c:scaling>
          <c:orientation val="minMax"/>
        </c:scaling>
        <c:delete val="0"/>
        <c:axPos val="b"/>
        <c:numFmt formatCode="General" sourceLinked="1"/>
        <c:majorTickMark val="out"/>
        <c:minorTickMark val="none"/>
        <c:tickLblPos val="nextTo"/>
        <c:crossAx val="72506752"/>
        <c:crosses val="autoZero"/>
        <c:auto val="1"/>
        <c:lblAlgn val="ctr"/>
        <c:lblOffset val="100"/>
        <c:noMultiLvlLbl val="0"/>
      </c:catAx>
      <c:valAx>
        <c:axId val="72506752"/>
        <c:scaling>
          <c:orientation val="minMax"/>
        </c:scaling>
        <c:delete val="0"/>
        <c:axPos val="l"/>
        <c:majorGridlines/>
        <c:numFmt formatCode="General" sourceLinked="1"/>
        <c:majorTickMark val="out"/>
        <c:minorTickMark val="none"/>
        <c:tickLblPos val="nextTo"/>
        <c:crossAx val="72505216"/>
        <c:crosses val="autoZero"/>
        <c:crossBetween val="between"/>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c:v>
                </c:pt>
              </c:strCache>
            </c:strRef>
          </c:tx>
          <c:invertIfNegative val="0"/>
          <c:dPt>
            <c:idx val="0"/>
            <c:invertIfNegative val="0"/>
            <c:bubble3D val="0"/>
            <c:spPr>
              <a:solidFill>
                <a:schemeClr val="accent6"/>
              </a:solidFill>
            </c:spPr>
          </c:dPt>
          <c:dPt>
            <c:idx val="1"/>
            <c:invertIfNegative val="0"/>
            <c:bubble3D val="0"/>
            <c:spPr>
              <a:solidFill>
                <a:schemeClr val="accent4"/>
              </a:solidFill>
            </c:spPr>
          </c:dPt>
          <c:dPt>
            <c:idx val="2"/>
            <c:invertIfNegative val="0"/>
            <c:bubble3D val="0"/>
            <c:spPr>
              <a:solidFill>
                <a:schemeClr val="accent3"/>
              </a:solidFill>
            </c:spPr>
          </c:dPt>
          <c:dPt>
            <c:idx val="3"/>
            <c:invertIfNegative val="0"/>
            <c:bubble3D val="0"/>
            <c:spPr>
              <a:solidFill>
                <a:schemeClr val="accent2"/>
              </a:solidFill>
            </c:spPr>
          </c:dPt>
          <c:dPt>
            <c:idx val="4"/>
            <c:invertIfNegative val="0"/>
            <c:bubble3D val="0"/>
            <c:spPr>
              <a:solidFill>
                <a:schemeClr val="accent1"/>
              </a:solidFill>
            </c:spPr>
          </c:dPt>
          <c:dLbls>
            <c:showLegendKey val="0"/>
            <c:showVal val="1"/>
            <c:showCatName val="0"/>
            <c:showSerName val="0"/>
            <c:showPercent val="0"/>
            <c:showBubbleSize val="0"/>
            <c:showLeaderLines val="0"/>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7.6099999999999985</c:v>
                </c:pt>
                <c:pt idx="1">
                  <c:v>7.8199999999999985</c:v>
                </c:pt>
                <c:pt idx="2">
                  <c:v>5.96</c:v>
                </c:pt>
                <c:pt idx="3">
                  <c:v>5.45</c:v>
                </c:pt>
                <c:pt idx="4">
                  <c:v>6.1599999999999975</c:v>
                </c:pt>
              </c:numCache>
            </c:numRef>
          </c:val>
        </c:ser>
        <c:dLbls>
          <c:showLegendKey val="0"/>
          <c:showVal val="0"/>
          <c:showCatName val="0"/>
          <c:showSerName val="0"/>
          <c:showPercent val="0"/>
          <c:showBubbleSize val="0"/>
        </c:dLbls>
        <c:gapWidth val="150"/>
        <c:axId val="72533504"/>
        <c:axId val="72535040"/>
      </c:barChart>
      <c:catAx>
        <c:axId val="72533504"/>
        <c:scaling>
          <c:orientation val="minMax"/>
        </c:scaling>
        <c:delete val="0"/>
        <c:axPos val="b"/>
        <c:numFmt formatCode="General" sourceLinked="1"/>
        <c:majorTickMark val="out"/>
        <c:minorTickMark val="none"/>
        <c:tickLblPos val="nextTo"/>
        <c:crossAx val="72535040"/>
        <c:crosses val="autoZero"/>
        <c:auto val="1"/>
        <c:lblAlgn val="ctr"/>
        <c:lblOffset val="100"/>
        <c:noMultiLvlLbl val="0"/>
      </c:catAx>
      <c:valAx>
        <c:axId val="72535040"/>
        <c:scaling>
          <c:orientation val="minMax"/>
        </c:scaling>
        <c:delete val="0"/>
        <c:axPos val="l"/>
        <c:majorGridlines/>
        <c:numFmt formatCode="General" sourceLinked="1"/>
        <c:majorTickMark val="out"/>
        <c:minorTickMark val="none"/>
        <c:tickLblPos val="nextTo"/>
        <c:crossAx val="72533504"/>
        <c:crosses val="autoZero"/>
        <c:crossBetween val="between"/>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c:v>
                </c:pt>
              </c:strCache>
            </c:strRef>
          </c:tx>
          <c:invertIfNegative val="0"/>
          <c:dPt>
            <c:idx val="0"/>
            <c:invertIfNegative val="0"/>
            <c:bubble3D val="0"/>
            <c:spPr>
              <a:solidFill>
                <a:schemeClr val="accent6"/>
              </a:solidFill>
            </c:spPr>
          </c:dPt>
          <c:dPt>
            <c:idx val="1"/>
            <c:invertIfNegative val="0"/>
            <c:bubble3D val="0"/>
            <c:spPr>
              <a:solidFill>
                <a:schemeClr val="accent4"/>
              </a:solidFill>
            </c:spPr>
          </c:dPt>
          <c:dPt>
            <c:idx val="2"/>
            <c:invertIfNegative val="0"/>
            <c:bubble3D val="0"/>
            <c:spPr>
              <a:solidFill>
                <a:schemeClr val="accent3"/>
              </a:solidFill>
            </c:spPr>
          </c:dPt>
          <c:dPt>
            <c:idx val="3"/>
            <c:invertIfNegative val="0"/>
            <c:bubble3D val="0"/>
            <c:spPr>
              <a:solidFill>
                <a:schemeClr val="accent2"/>
              </a:solidFill>
            </c:spPr>
          </c:dPt>
          <c:dPt>
            <c:idx val="4"/>
            <c:invertIfNegative val="0"/>
            <c:bubble3D val="0"/>
            <c:spPr>
              <a:solidFill>
                <a:schemeClr val="accent1"/>
              </a:solidFill>
            </c:spPr>
          </c:dPt>
          <c:dLbls>
            <c:showLegendKey val="0"/>
            <c:showVal val="1"/>
            <c:showCatName val="0"/>
            <c:showSerName val="0"/>
            <c:showPercent val="0"/>
            <c:showBubbleSize val="0"/>
            <c:showLeaderLines val="0"/>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12.709999999999999</c:v>
                </c:pt>
                <c:pt idx="1">
                  <c:v>12.739999999999998</c:v>
                </c:pt>
                <c:pt idx="2">
                  <c:v>12.450000000000006</c:v>
                </c:pt>
                <c:pt idx="3">
                  <c:v>14.01</c:v>
                </c:pt>
                <c:pt idx="4">
                  <c:v>17.04</c:v>
                </c:pt>
              </c:numCache>
            </c:numRef>
          </c:val>
        </c:ser>
        <c:dLbls>
          <c:showLegendKey val="0"/>
          <c:showVal val="0"/>
          <c:showCatName val="0"/>
          <c:showSerName val="0"/>
          <c:showPercent val="0"/>
          <c:showBubbleSize val="0"/>
        </c:dLbls>
        <c:gapWidth val="150"/>
        <c:axId val="71623808"/>
        <c:axId val="71625344"/>
      </c:barChart>
      <c:catAx>
        <c:axId val="71623808"/>
        <c:scaling>
          <c:orientation val="minMax"/>
        </c:scaling>
        <c:delete val="0"/>
        <c:axPos val="b"/>
        <c:numFmt formatCode="General" sourceLinked="1"/>
        <c:majorTickMark val="out"/>
        <c:minorTickMark val="none"/>
        <c:tickLblPos val="nextTo"/>
        <c:crossAx val="71625344"/>
        <c:crosses val="autoZero"/>
        <c:auto val="1"/>
        <c:lblAlgn val="ctr"/>
        <c:lblOffset val="100"/>
        <c:noMultiLvlLbl val="0"/>
      </c:catAx>
      <c:valAx>
        <c:axId val="71625344"/>
        <c:scaling>
          <c:orientation val="minMax"/>
        </c:scaling>
        <c:delete val="0"/>
        <c:axPos val="l"/>
        <c:majorGridlines/>
        <c:numFmt formatCode="General" sourceLinked="1"/>
        <c:majorTickMark val="out"/>
        <c:minorTickMark val="none"/>
        <c:tickLblPos val="nextTo"/>
        <c:crossAx val="71623808"/>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8AE70B-7C80-4E6D-BE2E-53F4D8BBE0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6974580</TotalTime>
  <Pages>34</Pages>
  <Words>5541</Words>
  <Characters>31590</Characters>
  <Application>Microsoft Office Word</Application>
  <DocSecurity>0</DocSecurity>
  <Lines>263</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37057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Sadman</dc:creator>
  <cp:lastModifiedBy>Monti</cp:lastModifiedBy>
  <cp:revision>188</cp:revision>
  <dcterms:created xsi:type="dcterms:W3CDTF">2020-03-21T22:04:00Z</dcterms:created>
  <dcterms:modified xsi:type="dcterms:W3CDTF">2020-06-20T15:08:00Z</dcterms:modified>
</cp:coreProperties>
</file>